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E8" w:rsidRPr="006778E8" w:rsidRDefault="006778E8" w:rsidP="006778E8">
      <w:pPr>
        <w:pStyle w:val="p0"/>
        <w:spacing w:line="460" w:lineRule="exact"/>
        <w:ind w:left="0"/>
        <w:rPr>
          <w:rFonts w:ascii="黑体" w:eastAsia="黑体" w:hAnsi="黑体"/>
          <w:sz w:val="28"/>
          <w:szCs w:val="28"/>
        </w:rPr>
      </w:pPr>
      <w:r w:rsidRPr="006778E8">
        <w:rPr>
          <w:rFonts w:ascii="黑体" w:eastAsia="黑体" w:hAnsi="黑体"/>
          <w:sz w:val="28"/>
          <w:szCs w:val="28"/>
        </w:rPr>
        <w:t>苏家屯区十</w:t>
      </w:r>
      <w:r w:rsidR="00F41E5B">
        <w:rPr>
          <w:rFonts w:ascii="黑体" w:eastAsia="黑体" w:hAnsi="黑体" w:hint="eastAsia"/>
          <w:sz w:val="28"/>
          <w:szCs w:val="28"/>
        </w:rPr>
        <w:t>九</w:t>
      </w:r>
      <w:r w:rsidRPr="006778E8">
        <w:rPr>
          <w:rFonts w:ascii="黑体" w:eastAsia="黑体" w:hAnsi="黑体"/>
          <w:sz w:val="28"/>
          <w:szCs w:val="28"/>
        </w:rPr>
        <w:t>届人大</w:t>
      </w:r>
    </w:p>
    <w:p w:rsidR="006778E8" w:rsidRDefault="00F41E5B" w:rsidP="006778E8">
      <w:pPr>
        <w:pStyle w:val="p0"/>
        <w:spacing w:line="460" w:lineRule="exact"/>
        <w:ind w:left="0"/>
        <w:jc w:val="left"/>
        <w:rPr>
          <w:rFonts w:ascii="穝灿砰" w:hAnsi="穝灿砰" w:hint="eastAsia"/>
          <w:sz w:val="28"/>
          <w:szCs w:val="28"/>
        </w:rPr>
      </w:pPr>
      <w:r>
        <w:rPr>
          <w:rFonts w:ascii="黑体" w:eastAsia="黑体" w:hAnsi="黑体" w:hint="eastAsia"/>
          <w:sz w:val="28"/>
          <w:szCs w:val="28"/>
        </w:rPr>
        <w:t>一</w:t>
      </w:r>
      <w:r w:rsidR="006778E8" w:rsidRPr="006778E8">
        <w:rPr>
          <w:rFonts w:ascii="黑体" w:eastAsia="黑体" w:hAnsi="黑体"/>
          <w:sz w:val="28"/>
          <w:szCs w:val="28"/>
        </w:rPr>
        <w:t>次会议文件（</w:t>
      </w:r>
      <w:r w:rsidR="00FD5A05">
        <w:rPr>
          <w:rFonts w:ascii="黑体" w:eastAsia="黑体" w:hAnsi="黑体" w:hint="eastAsia"/>
          <w:sz w:val="28"/>
          <w:szCs w:val="28"/>
        </w:rPr>
        <w:t>1</w:t>
      </w:r>
      <w:r w:rsidR="009D0153">
        <w:rPr>
          <w:rFonts w:ascii="黑体" w:eastAsia="黑体" w:hAnsi="黑体" w:hint="eastAsia"/>
          <w:sz w:val="28"/>
          <w:szCs w:val="28"/>
        </w:rPr>
        <w:t>5</w:t>
      </w:r>
      <w:r w:rsidR="006778E8" w:rsidRPr="006778E8">
        <w:rPr>
          <w:rFonts w:ascii="黑体" w:eastAsia="黑体" w:hAnsi="黑体"/>
          <w:sz w:val="28"/>
          <w:szCs w:val="28"/>
        </w:rPr>
        <w:t>）</w:t>
      </w:r>
      <w:r w:rsidR="0090158B">
        <w:rPr>
          <w:rFonts w:ascii="黑体" w:eastAsia="黑体" w:hAnsi="黑体" w:hint="eastAsia"/>
          <w:sz w:val="28"/>
          <w:szCs w:val="28"/>
        </w:rPr>
        <w:t xml:space="preserve"> </w:t>
      </w:r>
    </w:p>
    <w:p w:rsidR="006778E8" w:rsidRDefault="006778E8" w:rsidP="006778E8">
      <w:pPr>
        <w:pStyle w:val="p0"/>
        <w:jc w:val="left"/>
        <w:rPr>
          <w:rFonts w:ascii="穝灿砰" w:hAnsi="穝灿砰" w:hint="eastAsia"/>
          <w:sz w:val="28"/>
          <w:szCs w:val="28"/>
        </w:rPr>
      </w:pPr>
    </w:p>
    <w:p w:rsidR="00E53158" w:rsidRPr="00900849" w:rsidRDefault="00E53158" w:rsidP="00656BDD">
      <w:pPr>
        <w:spacing w:line="760" w:lineRule="exact"/>
        <w:jc w:val="center"/>
        <w:rPr>
          <w:rFonts w:ascii="方正小标宋简体" w:eastAsia="方正小标宋简体" w:hAnsi="宋体" w:cs="Times New Roman"/>
          <w:sz w:val="44"/>
          <w:szCs w:val="44"/>
        </w:rPr>
      </w:pPr>
      <w:r w:rsidRPr="00900849">
        <w:rPr>
          <w:rFonts w:ascii="方正小标宋简体" w:eastAsia="方正小标宋简体" w:hAnsi="宋体" w:cs="Times New Roman" w:hint="eastAsia"/>
          <w:sz w:val="44"/>
          <w:szCs w:val="44"/>
        </w:rPr>
        <w:t>关于苏家屯区20</w:t>
      </w:r>
      <w:r w:rsidR="00C717DA">
        <w:rPr>
          <w:rFonts w:ascii="方正小标宋简体" w:eastAsia="方正小标宋简体" w:hAnsi="宋体" w:cs="Times New Roman" w:hint="eastAsia"/>
          <w:sz w:val="44"/>
          <w:szCs w:val="44"/>
        </w:rPr>
        <w:t>2</w:t>
      </w:r>
      <w:r w:rsidR="00F41E5B">
        <w:rPr>
          <w:rFonts w:ascii="方正小标宋简体" w:eastAsia="方正小标宋简体" w:hAnsi="宋体" w:cs="Times New Roman" w:hint="eastAsia"/>
          <w:sz w:val="44"/>
          <w:szCs w:val="44"/>
        </w:rPr>
        <w:t>1</w:t>
      </w:r>
      <w:r w:rsidRPr="00900849">
        <w:rPr>
          <w:rFonts w:ascii="方正小标宋简体" w:eastAsia="方正小标宋简体" w:hAnsi="宋体" w:cs="Times New Roman" w:hint="eastAsia"/>
          <w:sz w:val="44"/>
          <w:szCs w:val="44"/>
        </w:rPr>
        <w:t>年预算执行情况</w:t>
      </w:r>
    </w:p>
    <w:p w:rsidR="00E53158" w:rsidRPr="00900849" w:rsidRDefault="00E53158" w:rsidP="00656BDD">
      <w:pPr>
        <w:spacing w:line="760" w:lineRule="exact"/>
        <w:jc w:val="center"/>
        <w:rPr>
          <w:rFonts w:ascii="方正小标宋简体" w:eastAsia="方正小标宋简体" w:hAnsi="宋体" w:cs="Times New Roman"/>
          <w:sz w:val="44"/>
          <w:szCs w:val="44"/>
        </w:rPr>
      </w:pPr>
      <w:r w:rsidRPr="00900849">
        <w:rPr>
          <w:rFonts w:ascii="方正小标宋简体" w:eastAsia="方正小标宋简体" w:hAnsi="宋体" w:cs="Times New Roman" w:hint="eastAsia"/>
          <w:sz w:val="44"/>
          <w:szCs w:val="44"/>
        </w:rPr>
        <w:t>和20</w:t>
      </w:r>
      <w:r w:rsidR="00D438DA">
        <w:rPr>
          <w:rFonts w:ascii="方正小标宋简体" w:eastAsia="方正小标宋简体" w:hAnsi="宋体" w:cs="Times New Roman" w:hint="eastAsia"/>
          <w:sz w:val="44"/>
          <w:szCs w:val="44"/>
        </w:rPr>
        <w:t>2</w:t>
      </w:r>
      <w:r w:rsidR="00F41E5B">
        <w:rPr>
          <w:rFonts w:ascii="方正小标宋简体" w:eastAsia="方正小标宋简体" w:hAnsi="宋体" w:cs="Times New Roman" w:hint="eastAsia"/>
          <w:sz w:val="44"/>
          <w:szCs w:val="44"/>
        </w:rPr>
        <w:t>2</w:t>
      </w:r>
      <w:r w:rsidRPr="00900849">
        <w:rPr>
          <w:rFonts w:ascii="方正小标宋简体" w:eastAsia="方正小标宋简体" w:hAnsi="宋体" w:cs="Times New Roman" w:hint="eastAsia"/>
          <w:sz w:val="44"/>
          <w:szCs w:val="44"/>
        </w:rPr>
        <w:t>年预算（草案）的报告</w:t>
      </w:r>
      <w:r w:rsidRPr="00900849">
        <w:rPr>
          <w:rFonts w:ascii="方正小标宋简体" w:eastAsia="方正小标宋简体" w:hAnsi="宋体" w:hint="eastAsia"/>
          <w:sz w:val="44"/>
          <w:szCs w:val="44"/>
        </w:rPr>
        <w:t>（书面）</w:t>
      </w:r>
    </w:p>
    <w:p w:rsidR="00DC01A7" w:rsidRPr="00E53158" w:rsidRDefault="00DC01A7" w:rsidP="000A6110">
      <w:pPr>
        <w:pStyle w:val="p0"/>
        <w:spacing w:line="600" w:lineRule="exact"/>
        <w:ind w:left="0"/>
        <w:jc w:val="center"/>
        <w:rPr>
          <w:rFonts w:ascii="方正小标宋简体" w:eastAsia="方正小标宋简体" w:hAnsi="穝灿砰" w:hint="eastAsia"/>
          <w:sz w:val="28"/>
          <w:szCs w:val="28"/>
        </w:rPr>
      </w:pPr>
    </w:p>
    <w:p w:rsidR="00E06216" w:rsidRPr="00E06216" w:rsidRDefault="00E06216" w:rsidP="00C717DA">
      <w:pPr>
        <w:pStyle w:val="p0"/>
        <w:spacing w:line="600" w:lineRule="exact"/>
        <w:jc w:val="center"/>
        <w:rPr>
          <w:rFonts w:ascii="楷体_GB2312" w:eastAsia="楷体_GB2312" w:hAnsi="夹发砰" w:hint="eastAsia"/>
          <w:sz w:val="32"/>
          <w:szCs w:val="32"/>
        </w:rPr>
      </w:pPr>
      <w:r w:rsidRPr="00E06216">
        <w:rPr>
          <w:rFonts w:ascii="楷体_GB2312" w:eastAsia="楷体_GB2312" w:hAnsi="夹发砰" w:hint="eastAsia"/>
          <w:sz w:val="32"/>
          <w:szCs w:val="32"/>
        </w:rPr>
        <w:t>—</w:t>
      </w:r>
      <w:r w:rsidRPr="00E06216">
        <w:rPr>
          <w:rFonts w:ascii="楷体_GB2312" w:eastAsia="楷体_GB2312" w:hint="eastAsia"/>
          <w:sz w:val="32"/>
          <w:szCs w:val="32"/>
        </w:rPr>
        <w:t>20</w:t>
      </w:r>
      <w:r w:rsidR="00C717DA">
        <w:rPr>
          <w:rFonts w:ascii="楷体_GB2312" w:eastAsia="楷体_GB2312" w:hint="eastAsia"/>
          <w:sz w:val="32"/>
          <w:szCs w:val="32"/>
        </w:rPr>
        <w:t>2</w:t>
      </w:r>
      <w:r w:rsidR="00F41E5B">
        <w:rPr>
          <w:rFonts w:ascii="楷体_GB2312" w:eastAsia="楷体_GB2312" w:hint="eastAsia"/>
          <w:sz w:val="32"/>
          <w:szCs w:val="32"/>
        </w:rPr>
        <w:t>1</w:t>
      </w:r>
      <w:r w:rsidRPr="00E06216">
        <w:rPr>
          <w:rFonts w:ascii="楷体_GB2312" w:eastAsia="楷体_GB2312" w:hAnsi="夹发砰" w:hint="eastAsia"/>
          <w:sz w:val="32"/>
          <w:szCs w:val="32"/>
        </w:rPr>
        <w:t>年</w:t>
      </w:r>
      <w:r w:rsidRPr="00E06216">
        <w:rPr>
          <w:rFonts w:ascii="楷体_GB2312" w:eastAsia="楷体_GB2312" w:hint="eastAsia"/>
          <w:sz w:val="32"/>
          <w:szCs w:val="32"/>
        </w:rPr>
        <w:t>12</w:t>
      </w:r>
      <w:r w:rsidRPr="00E06216">
        <w:rPr>
          <w:rFonts w:ascii="楷体_GB2312" w:eastAsia="楷体_GB2312" w:hAnsi="夹发砰" w:hint="eastAsia"/>
          <w:sz w:val="32"/>
          <w:szCs w:val="32"/>
        </w:rPr>
        <w:t>月</w:t>
      </w:r>
      <w:r w:rsidR="00F41E5B">
        <w:rPr>
          <w:rFonts w:ascii="楷体_GB2312" w:eastAsia="楷体_GB2312" w:hint="eastAsia"/>
          <w:sz w:val="32"/>
          <w:szCs w:val="32"/>
        </w:rPr>
        <w:t>8</w:t>
      </w:r>
      <w:r w:rsidRPr="00E06216">
        <w:rPr>
          <w:rFonts w:ascii="楷体_GB2312" w:eastAsia="楷体_GB2312" w:hAnsi="夹发砰" w:hint="eastAsia"/>
          <w:sz w:val="32"/>
          <w:szCs w:val="32"/>
        </w:rPr>
        <w:t>日在苏家屯区第十</w:t>
      </w:r>
      <w:r w:rsidR="00F41E5B">
        <w:rPr>
          <w:rFonts w:ascii="楷体_GB2312" w:eastAsia="楷体_GB2312" w:hAnsi="夹发砰" w:hint="eastAsia"/>
          <w:sz w:val="32"/>
          <w:szCs w:val="32"/>
        </w:rPr>
        <w:t>九</w:t>
      </w:r>
      <w:r w:rsidRPr="00E06216">
        <w:rPr>
          <w:rFonts w:ascii="楷体_GB2312" w:eastAsia="楷体_GB2312" w:hAnsi="夹发砰" w:hint="eastAsia"/>
          <w:sz w:val="32"/>
          <w:szCs w:val="32"/>
        </w:rPr>
        <w:t>届</w:t>
      </w:r>
    </w:p>
    <w:p w:rsidR="00E06216" w:rsidRPr="00E06216" w:rsidRDefault="00E06216" w:rsidP="00C717DA">
      <w:pPr>
        <w:pStyle w:val="p0"/>
        <w:spacing w:line="600" w:lineRule="exact"/>
        <w:jc w:val="center"/>
        <w:rPr>
          <w:rFonts w:ascii="楷体_GB2312" w:eastAsia="楷体_GB2312" w:hAnsi="夹发砰" w:hint="eastAsia"/>
          <w:sz w:val="32"/>
          <w:szCs w:val="32"/>
        </w:rPr>
      </w:pPr>
      <w:r w:rsidRPr="00E06216">
        <w:rPr>
          <w:rFonts w:ascii="楷体_GB2312" w:eastAsia="楷体_GB2312" w:hAnsi="夹发砰" w:hint="eastAsia"/>
          <w:sz w:val="32"/>
          <w:szCs w:val="32"/>
        </w:rPr>
        <w:t>人民代表大会第</w:t>
      </w:r>
      <w:r w:rsidR="00F41E5B">
        <w:rPr>
          <w:rFonts w:ascii="楷体_GB2312" w:eastAsia="楷体_GB2312" w:hAnsi="夹发砰" w:hint="eastAsia"/>
          <w:sz w:val="32"/>
          <w:szCs w:val="32"/>
        </w:rPr>
        <w:t>一</w:t>
      </w:r>
      <w:r w:rsidRPr="00E06216">
        <w:rPr>
          <w:rFonts w:ascii="楷体_GB2312" w:eastAsia="楷体_GB2312" w:hAnsi="夹发砰" w:hint="eastAsia"/>
          <w:sz w:val="32"/>
          <w:szCs w:val="32"/>
        </w:rPr>
        <w:t>次会议上</w:t>
      </w:r>
    </w:p>
    <w:p w:rsidR="00DC01A7" w:rsidRPr="00E06216" w:rsidRDefault="00DC01A7" w:rsidP="00C717DA">
      <w:pPr>
        <w:pStyle w:val="p0"/>
        <w:spacing w:line="600" w:lineRule="exact"/>
        <w:jc w:val="center"/>
        <w:rPr>
          <w:rFonts w:ascii="楷体_GB2312" w:eastAsia="楷体_GB2312" w:hAnsi="穝灿砰" w:hint="eastAsia"/>
          <w:sz w:val="32"/>
          <w:szCs w:val="32"/>
        </w:rPr>
      </w:pPr>
    </w:p>
    <w:p w:rsidR="00E53158" w:rsidRPr="007E76B6" w:rsidRDefault="00E53158" w:rsidP="00C717DA">
      <w:pPr>
        <w:spacing w:line="600" w:lineRule="exact"/>
        <w:jc w:val="center"/>
        <w:rPr>
          <w:rFonts w:ascii="楷体_GB2312" w:eastAsia="楷体_GB2312" w:hAnsi="Calibri" w:cs="Times New Roman"/>
          <w:sz w:val="32"/>
          <w:szCs w:val="32"/>
        </w:rPr>
      </w:pPr>
      <w:r w:rsidRPr="003461F8">
        <w:rPr>
          <w:rFonts w:ascii="楷体_GB2312" w:eastAsia="楷体_GB2312" w:hAnsi="Calibri" w:cs="Times New Roman" w:hint="eastAsia"/>
          <w:sz w:val="32"/>
          <w:szCs w:val="32"/>
        </w:rPr>
        <w:t xml:space="preserve">苏家屯区财政局局长  </w:t>
      </w:r>
      <w:r w:rsidR="00F41E5B">
        <w:rPr>
          <w:rFonts w:ascii="楷体_GB2312" w:eastAsia="楷体_GB2312" w:hAnsi="Calibri" w:cs="Times New Roman" w:hint="eastAsia"/>
          <w:sz w:val="32"/>
          <w:szCs w:val="32"/>
        </w:rPr>
        <w:t>程  科</w:t>
      </w:r>
    </w:p>
    <w:p w:rsidR="00DC01A7" w:rsidRPr="000E23FE" w:rsidRDefault="00DC01A7" w:rsidP="00C717DA">
      <w:pPr>
        <w:pStyle w:val="p0"/>
        <w:spacing w:line="600" w:lineRule="exact"/>
        <w:jc w:val="center"/>
        <w:rPr>
          <w:rFonts w:ascii="仿宋_GB2312" w:eastAsia="仿宋_GB2312" w:hAnsi="穝灿砰" w:hint="eastAsia"/>
          <w:sz w:val="32"/>
          <w:szCs w:val="32"/>
        </w:rPr>
      </w:pPr>
    </w:p>
    <w:p w:rsidR="00C717DA" w:rsidRPr="00C717DA" w:rsidRDefault="00C717DA" w:rsidP="00F41E5B">
      <w:pPr>
        <w:spacing w:line="600" w:lineRule="exact"/>
        <w:rPr>
          <w:rFonts w:ascii="仿宋_GB2312" w:eastAsia="仿宋_GB2312" w:hAnsi="Times New Roman" w:cs="Times New Roman"/>
          <w:kern w:val="0"/>
          <w:sz w:val="32"/>
          <w:szCs w:val="32"/>
        </w:rPr>
      </w:pPr>
      <w:r w:rsidRPr="00C717DA">
        <w:rPr>
          <w:rFonts w:ascii="仿宋_GB2312" w:eastAsia="仿宋_GB2312" w:hAnsi="Times New Roman" w:cs="Times New Roman" w:hint="eastAsia"/>
          <w:kern w:val="0"/>
          <w:sz w:val="32"/>
          <w:szCs w:val="32"/>
        </w:rPr>
        <w:t>各位代表：</w:t>
      </w:r>
    </w:p>
    <w:p w:rsidR="009C3F2F" w:rsidRDefault="00C717DA" w:rsidP="009C3F2F">
      <w:pPr>
        <w:spacing w:line="600" w:lineRule="exact"/>
        <w:ind w:firstLineChars="200" w:firstLine="640"/>
        <w:rPr>
          <w:rFonts w:ascii="仿宋_GB2312" w:eastAsia="仿宋_GB2312" w:hAnsi="Times New Roman" w:cs="Times New Roman"/>
          <w:kern w:val="0"/>
          <w:sz w:val="32"/>
          <w:szCs w:val="32"/>
        </w:rPr>
      </w:pPr>
      <w:r w:rsidRPr="00C717DA">
        <w:rPr>
          <w:rFonts w:ascii="仿宋_GB2312" w:eastAsia="仿宋_GB2312" w:hAnsi="Times New Roman" w:cs="Times New Roman" w:hint="eastAsia"/>
          <w:kern w:val="0"/>
          <w:sz w:val="32"/>
          <w:szCs w:val="32"/>
        </w:rPr>
        <w:t>我受区人民政府委托，向大会报告我区202</w:t>
      </w:r>
      <w:r w:rsidR="00F41E5B">
        <w:rPr>
          <w:rFonts w:ascii="仿宋_GB2312" w:eastAsia="仿宋_GB2312" w:hAnsi="Times New Roman" w:cs="Times New Roman" w:hint="eastAsia"/>
          <w:kern w:val="0"/>
          <w:sz w:val="32"/>
          <w:szCs w:val="32"/>
        </w:rPr>
        <w:t>1</w:t>
      </w:r>
      <w:r w:rsidRPr="00C717DA">
        <w:rPr>
          <w:rFonts w:ascii="仿宋_GB2312" w:eastAsia="仿宋_GB2312" w:hAnsi="Times New Roman" w:cs="Times New Roman" w:hint="eastAsia"/>
          <w:kern w:val="0"/>
          <w:sz w:val="32"/>
          <w:szCs w:val="32"/>
        </w:rPr>
        <w:t>年预算执行情况和202</w:t>
      </w:r>
      <w:r w:rsidR="00F41E5B">
        <w:rPr>
          <w:rFonts w:ascii="仿宋_GB2312" w:eastAsia="仿宋_GB2312" w:hAnsi="Times New Roman" w:cs="Times New Roman" w:hint="eastAsia"/>
          <w:kern w:val="0"/>
          <w:sz w:val="32"/>
          <w:szCs w:val="32"/>
        </w:rPr>
        <w:t>2</w:t>
      </w:r>
      <w:r w:rsidRPr="00C717DA">
        <w:rPr>
          <w:rFonts w:ascii="仿宋_GB2312" w:eastAsia="仿宋_GB2312" w:hAnsi="Times New Roman" w:cs="Times New Roman" w:hint="eastAsia"/>
          <w:kern w:val="0"/>
          <w:sz w:val="32"/>
          <w:szCs w:val="32"/>
        </w:rPr>
        <w:t>年预算草案，请予审议，并请各位政协委员提出意见。</w:t>
      </w:r>
    </w:p>
    <w:p w:rsidR="00F41E5B" w:rsidRDefault="00F41E5B" w:rsidP="009C3F2F">
      <w:pPr>
        <w:spacing w:line="600" w:lineRule="exact"/>
        <w:ind w:firstLineChars="200" w:firstLine="640"/>
        <w:rPr>
          <w:rFonts w:ascii="仿宋_GB2312" w:eastAsia="仿宋_GB2312" w:hAnsi="Times New Roman" w:cs="Times New Roman"/>
          <w:kern w:val="0"/>
          <w:sz w:val="32"/>
          <w:szCs w:val="32"/>
        </w:rPr>
      </w:pPr>
      <w:r>
        <w:rPr>
          <w:rFonts w:ascii="黑体" w:eastAsia="黑体" w:hint="eastAsia"/>
          <w:sz w:val="32"/>
          <w:szCs w:val="32"/>
        </w:rPr>
        <w:t>一、2021年财政预算执行情况</w:t>
      </w:r>
    </w:p>
    <w:p w:rsidR="00F41E5B" w:rsidRPr="00F41E5B" w:rsidRDefault="00F41E5B" w:rsidP="00F41E5B">
      <w:pPr>
        <w:spacing w:line="600" w:lineRule="exact"/>
        <w:ind w:firstLineChars="200" w:firstLine="640"/>
        <w:rPr>
          <w:rFonts w:ascii="仿宋_GB2312" w:eastAsia="仿宋_GB2312" w:hAnsi="Times New Roman" w:cs="Times New Roman"/>
          <w:kern w:val="0"/>
          <w:sz w:val="32"/>
          <w:szCs w:val="32"/>
        </w:rPr>
      </w:pPr>
      <w:r>
        <w:rPr>
          <w:rFonts w:ascii="楷体_GB2312" w:eastAsia="楷体_GB2312" w:hAnsi="仿宋_GB2312" w:cs="仿宋_GB2312" w:hint="eastAsia"/>
          <w:sz w:val="32"/>
          <w:szCs w:val="32"/>
        </w:rPr>
        <w:t>（一）一般公共预算执行情况</w:t>
      </w:r>
    </w:p>
    <w:p w:rsidR="00F41E5B" w:rsidRDefault="00F41E5B" w:rsidP="00F41E5B">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1.收入。</w:t>
      </w:r>
      <w:r>
        <w:rPr>
          <w:rFonts w:ascii="仿宋_GB2312" w:eastAsia="仿宋_GB2312" w:hAnsi="仿宋" w:hint="eastAsia"/>
          <w:sz w:val="32"/>
          <w:szCs w:val="32"/>
        </w:rPr>
        <w:t>经区十八届人大常委会第三十七次会议审议批准，我区2021年一般公共预算收入为27.29亿元。年终预计完成27.29亿元，完成预算的100%，同比增加0.27亿元，增长1%。其中，税收收入实现24.98亿元，完成预算的100%，同比增加22万元，增幅与上年持平；非税收入完成2.31亿元，完成预算的100%，同比增加0.27亿元，增长13.3%。税收占一般公共预算收入的比重</w:t>
      </w:r>
      <w:r>
        <w:rPr>
          <w:rFonts w:ascii="仿宋_GB2312" w:eastAsia="仿宋_GB2312" w:hAnsi="仿宋" w:hint="eastAsia"/>
          <w:sz w:val="32"/>
          <w:szCs w:val="32"/>
        </w:rPr>
        <w:lastRenderedPageBreak/>
        <w:t>为91.5%，同比下降0.9个百分点。</w:t>
      </w:r>
    </w:p>
    <w:p w:rsidR="00F41E5B" w:rsidRDefault="00F41E5B" w:rsidP="00F41E5B">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2.支出。</w:t>
      </w:r>
      <w:r>
        <w:rPr>
          <w:rFonts w:ascii="仿宋_GB2312" w:eastAsia="仿宋_GB2312" w:hAnsi="仿宋" w:hint="eastAsia"/>
          <w:sz w:val="32"/>
          <w:szCs w:val="32"/>
        </w:rPr>
        <w:t>经区十八届人大常委会第三十七次会议审议批准，我区2021年一般公共预算支出为29.26亿元。年终预计完成27.56亿元，为调整预算的94.2%，同比减支3.28亿元，下降10.6%。</w:t>
      </w:r>
    </w:p>
    <w:p w:rsidR="00F41E5B" w:rsidRDefault="00F41E5B" w:rsidP="00F41E5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支出主要用于以下方面：一般公共服务支出（党政群团经费）3.3亿元；公共安全支出（公检法司经费）0.78亿元；教育支出4.8亿元；社会保障和就业支出6.9亿元；卫生健康支出2.2亿元；城乡社区支出1.9亿元；农林水支出4.3亿元等。</w:t>
      </w:r>
    </w:p>
    <w:p w:rsidR="001556C1" w:rsidRDefault="00F41E5B" w:rsidP="001556C1">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3.平衡情况。</w:t>
      </w:r>
      <w:r>
        <w:rPr>
          <w:rFonts w:ascii="仿宋_GB2312" w:eastAsia="仿宋_GB2312" w:hAnsi="仿宋" w:hint="eastAsia"/>
          <w:sz w:val="32"/>
          <w:szCs w:val="32"/>
        </w:rPr>
        <w:t>根据现行财政管理体制测算，一般公共预算收入27.29亿元，加上上级补助收入12.09亿元、债券转贷收入1.95亿元、上年基金结余调入0.83亿元，减去上解上级支出11.25亿元、债务还本支出1.65亿元，当年一般公共预算财力为29.26亿元，减去一般公共预算支出27.56亿元、安排预算稳定调节基金0.2亿元、结转下年资金1.5亿元,预算执行结果实现收支平衡。</w:t>
      </w:r>
    </w:p>
    <w:p w:rsidR="00F41E5B" w:rsidRPr="001556C1" w:rsidRDefault="00F41E5B" w:rsidP="001556C1">
      <w:pPr>
        <w:spacing w:line="600" w:lineRule="exact"/>
        <w:ind w:firstLineChars="200" w:firstLine="640"/>
        <w:rPr>
          <w:rFonts w:ascii="仿宋_GB2312" w:eastAsia="仿宋_GB2312" w:hAnsi="仿宋"/>
          <w:sz w:val="32"/>
          <w:szCs w:val="32"/>
        </w:rPr>
      </w:pPr>
      <w:r>
        <w:rPr>
          <w:rFonts w:ascii="楷体_GB2312" w:eastAsia="楷体_GB2312" w:hAnsi="仿宋_GB2312" w:cs="仿宋_GB2312" w:hint="eastAsia"/>
          <w:sz w:val="32"/>
          <w:szCs w:val="32"/>
        </w:rPr>
        <w:t>（二）政府性基金预算执行情况</w:t>
      </w:r>
    </w:p>
    <w:p w:rsidR="00F41E5B" w:rsidRDefault="00F41E5B" w:rsidP="00F41E5B">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1.收入。</w:t>
      </w:r>
      <w:r>
        <w:rPr>
          <w:rFonts w:ascii="仿宋_GB2312" w:eastAsia="仿宋_GB2312" w:hAnsi="仿宋" w:hint="eastAsia"/>
          <w:sz w:val="32"/>
          <w:szCs w:val="32"/>
        </w:rPr>
        <w:t>经区十八届人大常委会第三十七次会议审议批准，我区2021年基金预算收入为16.48亿元。年终收入预计实现16.48亿元，为预算的100%，同比减少5.77亿元，下降25.9%。其中，国有土地使用权出让收入15.02亿元，同比减少5.59亿元，下降27.1%。</w:t>
      </w:r>
    </w:p>
    <w:p w:rsidR="00F41E5B" w:rsidRDefault="00F41E5B" w:rsidP="00F41E5B">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2.支出。</w:t>
      </w:r>
      <w:r>
        <w:rPr>
          <w:rFonts w:ascii="仿宋_GB2312" w:eastAsia="仿宋_GB2312" w:hAnsi="仿宋" w:hint="eastAsia"/>
          <w:sz w:val="32"/>
          <w:szCs w:val="32"/>
        </w:rPr>
        <w:t>经区十八届人大常委会第三十七次会议审议批准，我区2021年基金预算支出为18.08亿元。年终预计完成17.73亿</w:t>
      </w:r>
      <w:r>
        <w:rPr>
          <w:rFonts w:ascii="仿宋_GB2312" w:eastAsia="仿宋_GB2312" w:hAnsi="仿宋" w:hint="eastAsia"/>
          <w:sz w:val="32"/>
          <w:szCs w:val="32"/>
        </w:rPr>
        <w:lastRenderedPageBreak/>
        <w:t>元，为调整预算的98.1%，同比减支6.18亿元，下降25.9%。</w:t>
      </w:r>
    </w:p>
    <w:p w:rsidR="00F41E5B" w:rsidRDefault="00F41E5B" w:rsidP="00F41E5B">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3.平衡情况。</w:t>
      </w:r>
      <w:r>
        <w:rPr>
          <w:rFonts w:ascii="仿宋_GB2312" w:eastAsia="仿宋_GB2312" w:hAnsi="仿宋" w:hint="eastAsia"/>
          <w:sz w:val="32"/>
          <w:szCs w:val="32"/>
        </w:rPr>
        <w:t>基金预算收入16.48亿元，加上上级补助收入1.6亿元、上年结余收入0.83亿元、债务转贷收入8.61亿元，减去基金调入一般公共预算支出0.83亿元、债务还本支出8.61亿元，基金财力实现18.08亿元，减去基金支出17.73亿元、基金结转下年支出0.35亿元，预算执行结果实现收支平衡。</w:t>
      </w:r>
    </w:p>
    <w:p w:rsidR="001556C1" w:rsidRDefault="00F41E5B" w:rsidP="001556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般公共预算支出和基金支出大幅下降的主要原因是财政结算体制调整，从原来的权责发生制调整为收付实现制。原来财政拨付的资金数即为列支的支出数，现在则按照部门实际支出数作为支出数列支，因此很多财政资金拨付到部门，但是部门年内没有实际支出的项目金额将不能作为支出数列支，必须结转下年支出或调入预算稳定调节基金，因此支出大幅下降。</w:t>
      </w:r>
    </w:p>
    <w:p w:rsidR="00F41E5B" w:rsidRPr="001556C1" w:rsidRDefault="00F41E5B" w:rsidP="001556C1">
      <w:pPr>
        <w:spacing w:line="600" w:lineRule="exact"/>
        <w:ind w:firstLineChars="200" w:firstLine="640"/>
        <w:rPr>
          <w:rFonts w:ascii="仿宋_GB2312" w:eastAsia="仿宋_GB2312" w:hAnsi="仿宋"/>
          <w:sz w:val="32"/>
          <w:szCs w:val="32"/>
        </w:rPr>
      </w:pPr>
      <w:r>
        <w:rPr>
          <w:rFonts w:ascii="楷体_GB2312" w:eastAsia="楷体_GB2312" w:hAnsi="仿宋_GB2312" w:cs="仿宋_GB2312" w:hint="eastAsia"/>
          <w:sz w:val="32"/>
          <w:szCs w:val="32"/>
        </w:rPr>
        <w:t>（三）社保基金预算执行情况</w:t>
      </w:r>
    </w:p>
    <w:p w:rsidR="001556C1" w:rsidRDefault="00F41E5B" w:rsidP="001556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社保基金预算由省市统筹管理，收入全部入省级国库，支出由省、市、区三级统筹，我区支出数按照上级下达指标数予以配套，资金来源全部为一般公共预算收入财力安排。2021年预算支出总计3.92亿元，其中：财政对企业职工基本养老保险补助0.54亿元；财政对机关事业单位养老保险补助2.85亿元；财政对城乡居民养老保险补助0.23亿元；财政对城镇居民基本医疗保险补助0.3亿元。   </w:t>
      </w:r>
    </w:p>
    <w:p w:rsidR="00F41E5B" w:rsidRDefault="00F41E5B" w:rsidP="001556C1">
      <w:pPr>
        <w:spacing w:line="600" w:lineRule="exact"/>
        <w:ind w:firstLineChars="200" w:firstLine="640"/>
        <w:rPr>
          <w:rFonts w:ascii="仿宋_GB2312" w:eastAsia="仿宋_GB2312" w:hAnsi="仿宋"/>
          <w:sz w:val="32"/>
          <w:szCs w:val="32"/>
        </w:rPr>
      </w:pPr>
      <w:r>
        <w:rPr>
          <w:rFonts w:ascii="楷体_GB2312" w:eastAsia="楷体_GB2312" w:hAnsi="仿宋_GB2312" w:cs="仿宋_GB2312" w:hint="eastAsia"/>
          <w:sz w:val="32"/>
          <w:szCs w:val="32"/>
        </w:rPr>
        <w:t>（四）国有资本经营预算执行情况</w:t>
      </w:r>
    </w:p>
    <w:p w:rsidR="001556C1" w:rsidRDefault="00F41E5B" w:rsidP="001556C1">
      <w:pPr>
        <w:spacing w:line="600" w:lineRule="exact"/>
        <w:ind w:firstLineChars="200" w:firstLine="640"/>
        <w:rPr>
          <w:rFonts w:ascii="仿宋_GB2312" w:eastAsia="仿宋_GB2312" w:hAnsi="仿宋"/>
          <w:b/>
          <w:sz w:val="32"/>
          <w:szCs w:val="32"/>
        </w:rPr>
      </w:pPr>
      <w:r>
        <w:rPr>
          <w:rFonts w:ascii="仿宋_GB2312" w:eastAsia="仿宋_GB2312" w:hAnsi="仿宋" w:hint="eastAsia"/>
          <w:sz w:val="32"/>
          <w:szCs w:val="32"/>
        </w:rPr>
        <w:t>区本级2021年国有资本经营预算收入680万元，具体收入项</w:t>
      </w:r>
      <w:r>
        <w:rPr>
          <w:rFonts w:ascii="仿宋_GB2312" w:eastAsia="仿宋_GB2312" w:hAnsi="仿宋" w:hint="eastAsia"/>
          <w:sz w:val="32"/>
          <w:szCs w:val="32"/>
        </w:rPr>
        <w:lastRenderedPageBreak/>
        <w:t>目为其他国有资本经营收入（污水处理特许经营转让价款）。国有资本经营预算支出680万元，用于污水处理费支出</w:t>
      </w:r>
      <w:r>
        <w:rPr>
          <w:rFonts w:ascii="仿宋_GB2312" w:eastAsia="仿宋_GB2312" w:hAnsi="仿宋" w:hint="eastAsia"/>
          <w:b/>
          <w:sz w:val="32"/>
          <w:szCs w:val="32"/>
        </w:rPr>
        <w:t>。</w:t>
      </w:r>
    </w:p>
    <w:p w:rsidR="00F41E5B" w:rsidRPr="001556C1" w:rsidRDefault="00F41E5B" w:rsidP="001556C1">
      <w:pPr>
        <w:spacing w:line="600" w:lineRule="exact"/>
        <w:ind w:firstLineChars="200" w:firstLine="640"/>
        <w:rPr>
          <w:rFonts w:ascii="仿宋_GB2312" w:eastAsia="仿宋_GB2312" w:hAnsi="仿宋"/>
          <w:b/>
          <w:sz w:val="32"/>
          <w:szCs w:val="32"/>
        </w:rPr>
      </w:pPr>
      <w:r>
        <w:rPr>
          <w:rFonts w:ascii="楷体_GB2312" w:eastAsia="楷体_GB2312" w:hAnsi="仿宋_GB2312" w:cs="仿宋_GB2312" w:hint="eastAsia"/>
          <w:sz w:val="32"/>
          <w:szCs w:val="32"/>
        </w:rPr>
        <w:t>（五）2021年全区政府债务限额</w:t>
      </w:r>
    </w:p>
    <w:p w:rsidR="001556C1" w:rsidRDefault="00F41E5B" w:rsidP="001556C1">
      <w:pPr>
        <w:spacing w:line="600" w:lineRule="exact"/>
        <w:ind w:firstLineChars="200" w:firstLine="640"/>
        <w:rPr>
          <w:rFonts w:ascii="仿宋_GB2312" w:eastAsia="仿宋_GB2312"/>
          <w:sz w:val="32"/>
          <w:szCs w:val="32"/>
        </w:rPr>
      </w:pPr>
      <w:r>
        <w:rPr>
          <w:rFonts w:ascii="仿宋_GB2312" w:eastAsia="仿宋_GB2312" w:hAnsi="仿宋" w:hint="eastAsia"/>
          <w:sz w:val="32"/>
          <w:szCs w:val="32"/>
        </w:rPr>
        <w:t>经市政府批准，核定苏家屯区2021年地方政府限额</w:t>
      </w:r>
      <w:r>
        <w:rPr>
          <w:rFonts w:ascii="仿宋_GB2312" w:eastAsia="仿宋_GB2312" w:hint="eastAsia"/>
          <w:sz w:val="32"/>
          <w:szCs w:val="32"/>
        </w:rPr>
        <w:t>68.56亿元（其中：一般债务20.47亿元、专项债务48.09亿元），我区债务余额均未突破市政府核定的债务限额。</w:t>
      </w:r>
    </w:p>
    <w:p w:rsidR="00F41E5B" w:rsidRPr="001556C1" w:rsidRDefault="00F41E5B" w:rsidP="001556C1">
      <w:pPr>
        <w:spacing w:line="600" w:lineRule="exact"/>
        <w:ind w:firstLineChars="200" w:firstLine="640"/>
        <w:rPr>
          <w:rFonts w:ascii="仿宋_GB2312" w:eastAsia="仿宋_GB2312"/>
          <w:sz w:val="32"/>
          <w:szCs w:val="32"/>
        </w:rPr>
      </w:pPr>
      <w:r>
        <w:rPr>
          <w:rFonts w:ascii="楷体_GB2312" w:eastAsia="楷体_GB2312" w:hAnsi="仿宋_GB2312" w:cs="仿宋_GB2312" w:hint="eastAsia"/>
          <w:sz w:val="32"/>
          <w:szCs w:val="32"/>
        </w:rPr>
        <w:t>（六）2021年取得中央直达资金情况</w:t>
      </w:r>
    </w:p>
    <w:p w:rsidR="001556C1" w:rsidRDefault="00F41E5B" w:rsidP="001556C1">
      <w:pPr>
        <w:spacing w:line="600" w:lineRule="exact"/>
        <w:ind w:firstLineChars="196" w:firstLine="627"/>
        <w:rPr>
          <w:rFonts w:ascii="仿宋_GB2312" w:eastAsia="仿宋_GB2312" w:hAnsi="仿宋"/>
          <w:sz w:val="32"/>
          <w:szCs w:val="32"/>
        </w:rPr>
      </w:pPr>
      <w:r>
        <w:rPr>
          <w:rFonts w:ascii="仿宋_GB2312" w:eastAsia="仿宋_GB2312" w:hAnsi="仿宋" w:hint="eastAsia"/>
          <w:sz w:val="32"/>
          <w:szCs w:val="32"/>
        </w:rPr>
        <w:t>2021年我区共收到中央直达资金2.91亿元，其中：中央直达资金2.89亿元，主要用于农田建设补助、机关事业单位养老保险补助、城乡居民基本养老保险补助、成品油税费改革等方面；中央参照直达资金0.02亿元，主要用于职业教育质量提升。直达资金已全部拨付。</w:t>
      </w:r>
    </w:p>
    <w:p w:rsidR="001556C1" w:rsidRPr="001556C1" w:rsidRDefault="00F41E5B" w:rsidP="001556C1">
      <w:pPr>
        <w:spacing w:line="600" w:lineRule="exact"/>
        <w:ind w:firstLineChars="196" w:firstLine="630"/>
        <w:rPr>
          <w:rFonts w:ascii="仿宋_GB2312" w:eastAsia="仿宋_GB2312" w:hAnsi="仿宋"/>
          <w:sz w:val="32"/>
          <w:szCs w:val="32"/>
        </w:rPr>
      </w:pPr>
      <w:r>
        <w:rPr>
          <w:rFonts w:ascii="仿宋_GB2312" w:eastAsia="仿宋_GB2312" w:hint="eastAsia"/>
          <w:b/>
          <w:sz w:val="32"/>
          <w:szCs w:val="32"/>
        </w:rPr>
        <w:t>(2021年预算执行情况的各项指标列入本汇报附件，请审阅)</w:t>
      </w:r>
    </w:p>
    <w:p w:rsidR="00F41E5B" w:rsidRPr="001556C1" w:rsidRDefault="00F41E5B" w:rsidP="001556C1">
      <w:pPr>
        <w:spacing w:line="600" w:lineRule="exact"/>
        <w:ind w:firstLineChars="196" w:firstLine="627"/>
        <w:rPr>
          <w:rFonts w:ascii="仿宋_GB2312" w:eastAsia="仿宋_GB2312"/>
          <w:b/>
          <w:sz w:val="32"/>
          <w:szCs w:val="32"/>
        </w:rPr>
      </w:pPr>
      <w:r>
        <w:rPr>
          <w:rFonts w:ascii="楷体_GB2312" w:eastAsia="楷体_GB2312" w:hAnsi="仿宋_GB2312" w:cs="仿宋_GB2312" w:hint="eastAsia"/>
          <w:sz w:val="32"/>
          <w:szCs w:val="32"/>
        </w:rPr>
        <w:t xml:space="preserve">（七）2021年主要财政工作 </w:t>
      </w:r>
    </w:p>
    <w:p w:rsidR="00F41E5B" w:rsidRDefault="00F41E5B" w:rsidP="00F41E5B">
      <w:pPr>
        <w:spacing w:line="600" w:lineRule="exact"/>
        <w:ind w:firstLineChars="200" w:firstLine="643"/>
        <w:rPr>
          <w:rFonts w:ascii="仿宋_GB2312" w:eastAsia="仿宋_GB2312" w:hAnsi="楷体"/>
          <w:sz w:val="32"/>
          <w:szCs w:val="32"/>
        </w:rPr>
      </w:pPr>
      <w:r>
        <w:rPr>
          <w:rFonts w:ascii="楷体_GB2312" w:eastAsia="楷体_GB2312" w:hAnsi="楷体" w:hint="eastAsia"/>
          <w:b/>
          <w:sz w:val="32"/>
          <w:szCs w:val="32"/>
        </w:rPr>
        <w:t>1.</w:t>
      </w:r>
      <w:r>
        <w:rPr>
          <w:rFonts w:ascii="仿宋_GB2312" w:eastAsia="仿宋_GB2312" w:hAnsi="楷体" w:hint="eastAsia"/>
          <w:b/>
          <w:sz w:val="32"/>
          <w:szCs w:val="32"/>
        </w:rPr>
        <w:t>科学研判，大力挖掘财源潜力。</w:t>
      </w:r>
      <w:r>
        <w:rPr>
          <w:rFonts w:ascii="仿宋_GB2312" w:eastAsia="仿宋_GB2312" w:hAnsi="楷体" w:hint="eastAsia"/>
          <w:sz w:val="32"/>
          <w:szCs w:val="32"/>
        </w:rPr>
        <w:t>紧盯全年收入目标不放松，精心研究制定拓宽财源途径、完善财税联动协作机制，抓大不放小，着力拓展财力空间，掌握财政收入主动权。一是强化税收征管和服务，密切配合税务部门加强对重点税源企业的管理和服务，充分挖掘重点税源企业增收潜力，如红塔辽宁烟草有限责任公司沈阳卷烟厂同比增长13.8%、新生活集团（中国）有限公司同比增长49.9%等。二是完善非税收入管理制度，做到依法征收、应收尽收、及时入库，全年共实现非税收入2.32亿元，同比增长13.3%。</w:t>
      </w:r>
      <w:r>
        <w:rPr>
          <w:rFonts w:ascii="仿宋_GB2312" w:eastAsia="仿宋_GB2312" w:hAnsi="楷体" w:hint="eastAsia"/>
          <w:sz w:val="32"/>
          <w:szCs w:val="32"/>
        </w:rPr>
        <w:lastRenderedPageBreak/>
        <w:t>三是盘活存量资金，加大对预算单位结余结转资金收回力度，全年累计清理收回存量资金1.4亿元，统筹用于保障“三保”等重点支出。</w:t>
      </w:r>
      <w:r>
        <w:rPr>
          <w:rFonts w:ascii="仿宋_GB2312" w:eastAsia="仿宋_GB2312" w:hint="eastAsia"/>
          <w:sz w:val="32"/>
          <w:szCs w:val="32"/>
        </w:rPr>
        <w:t>四是主动争取上级部门支持，全年累计争取市级以上资金13.69亿元，有力保障了全区强农惠农、基本公共服务及城市基础设施建设等重点项目建设。</w:t>
      </w:r>
    </w:p>
    <w:p w:rsidR="00F41E5B" w:rsidRDefault="00F41E5B" w:rsidP="00F41E5B">
      <w:pPr>
        <w:spacing w:line="600" w:lineRule="exact"/>
        <w:ind w:firstLine="645"/>
        <w:rPr>
          <w:rFonts w:ascii="仿宋_GB2312" w:eastAsia="仿宋_GB2312"/>
          <w:color w:val="0000FF"/>
          <w:sz w:val="32"/>
          <w:szCs w:val="32"/>
        </w:rPr>
      </w:pPr>
      <w:r>
        <w:rPr>
          <w:rFonts w:ascii="仿宋_GB2312" w:eastAsia="仿宋_GB2312" w:hAnsi="楷体" w:hint="eastAsia"/>
          <w:b/>
          <w:sz w:val="32"/>
          <w:szCs w:val="32"/>
        </w:rPr>
        <w:t>2.强化保障，促进社会事业健康发展。</w:t>
      </w:r>
      <w:r>
        <w:rPr>
          <w:rFonts w:ascii="仿宋_GB2312" w:eastAsia="仿宋_GB2312" w:hint="eastAsia"/>
          <w:sz w:val="32"/>
          <w:szCs w:val="32"/>
        </w:rPr>
        <w:t>面对较为突出的收支矛盾，做好统筹安排，兜牢“三保”底线。一</w:t>
      </w:r>
      <w:r>
        <w:rPr>
          <w:rFonts w:ascii="仿宋_GB2312" w:eastAsia="仿宋_GB2312" w:hAnsi="楷体" w:hint="eastAsia"/>
          <w:sz w:val="32"/>
          <w:szCs w:val="32"/>
        </w:rPr>
        <w:t>是农林水投入有增无减，2021年累计投入农林水资金4.3亿元，同比增长1.9%。二是全力保障民生福祉，优先保障困难群体基本生活等支出，全年共拨付各类社保、医保资金7.62亿元。三是加大基本公共卫生资金投入，较2020年人均提标5元，达到79元，支出3642万元。建立应急物资保障体系，落实疫情防控财力支持，全年累计投入资金 3486万元。四是确保</w:t>
      </w:r>
      <w:r>
        <w:rPr>
          <w:rFonts w:ascii="仿宋_GB2312" w:eastAsia="仿宋_GB2312" w:hint="eastAsia"/>
          <w:sz w:val="32"/>
          <w:szCs w:val="32"/>
        </w:rPr>
        <w:t>重点项目支出，安排</w:t>
      </w:r>
      <w:r>
        <w:rPr>
          <w:rFonts w:ascii="仿宋_GB2312" w:eastAsia="仿宋_GB2312" w:hAnsi="宋体" w:cs="仿宋_GB2312" w:hint="eastAsia"/>
          <w:sz w:val="32"/>
          <w:szCs w:val="32"/>
        </w:rPr>
        <w:t>4000万元保障</w:t>
      </w:r>
      <w:r>
        <w:rPr>
          <w:rFonts w:ascii="仿宋_GB2312" w:eastAsia="仿宋_GB2312" w:hint="eastAsia"/>
          <w:sz w:val="32"/>
          <w:szCs w:val="32"/>
        </w:rPr>
        <w:t>2021-2022年度采暖期应急储备煤炭资金</w:t>
      </w:r>
      <w:r>
        <w:rPr>
          <w:rFonts w:ascii="仿宋_GB2312" w:eastAsia="仿宋_GB2312" w:hAnsi="宋体" w:cs="仿宋_GB2312" w:hint="eastAsia"/>
          <w:sz w:val="32"/>
          <w:szCs w:val="32"/>
        </w:rPr>
        <w:t>、4248万元保障老旧小区提质改造资金、2046万元“拆小并大”联网工程补贴资金、1565万元保障2021年创城资金。</w:t>
      </w:r>
    </w:p>
    <w:p w:rsidR="00F41E5B" w:rsidRDefault="00F41E5B" w:rsidP="00F41E5B">
      <w:pPr>
        <w:spacing w:line="600" w:lineRule="exact"/>
        <w:ind w:firstLineChars="200" w:firstLine="643"/>
        <w:rPr>
          <w:rFonts w:ascii="仿宋_GB2312" w:eastAsia="仿宋_GB2312"/>
          <w:sz w:val="32"/>
          <w:szCs w:val="32"/>
        </w:rPr>
      </w:pPr>
      <w:r>
        <w:rPr>
          <w:rFonts w:ascii="仿宋_GB2312" w:eastAsia="仿宋_GB2312" w:hint="eastAsia"/>
          <w:b/>
          <w:sz w:val="32"/>
          <w:szCs w:val="32"/>
        </w:rPr>
        <w:t>3.守正创新，推进财经制度改革。</w:t>
      </w:r>
      <w:r>
        <w:rPr>
          <w:rFonts w:ascii="仿宋_GB2312" w:eastAsia="仿宋_GB2312" w:hint="eastAsia"/>
          <w:sz w:val="32"/>
          <w:szCs w:val="32"/>
        </w:rPr>
        <w:t>一是深化预算管理体制改革，规范做好预算管理一体化系统建设，较好的完成了2022年一体化系统预算编制工作。2021年8月30日全区预算管理一体化系统首笔支付业务顺利完成，标志着我区财政预算管理一体化系统正式上线。二是全面推进政府采购管理交易平台的使用，确保按照政府集中采购目录及限额标准规范采购，节约成本，全年共实</w:t>
      </w:r>
      <w:r>
        <w:rPr>
          <w:rFonts w:ascii="仿宋_GB2312" w:eastAsia="仿宋_GB2312" w:hint="eastAsia"/>
          <w:sz w:val="32"/>
          <w:szCs w:val="32"/>
        </w:rPr>
        <w:lastRenderedPageBreak/>
        <w:t>施政府采购项目151个，实际完成采购金额1.84亿元，节约资金968.53万元，节支率5%。</w:t>
      </w:r>
    </w:p>
    <w:p w:rsidR="00F41E5B" w:rsidRDefault="00F41E5B" w:rsidP="00F41E5B">
      <w:pPr>
        <w:spacing w:line="600" w:lineRule="exact"/>
        <w:ind w:firstLineChars="200" w:firstLine="643"/>
        <w:rPr>
          <w:rFonts w:ascii="仿宋_GB2312" w:eastAsia="仿宋_GB2312"/>
          <w:sz w:val="32"/>
          <w:szCs w:val="32"/>
        </w:rPr>
      </w:pPr>
      <w:r>
        <w:rPr>
          <w:rFonts w:ascii="仿宋_GB2312" w:eastAsia="仿宋_GB2312" w:hAnsi="楷体" w:hint="eastAsia"/>
          <w:b/>
          <w:sz w:val="32"/>
          <w:szCs w:val="32"/>
        </w:rPr>
        <w:t>4.规范监管，确保财政资金安全。</w:t>
      </w:r>
      <w:r>
        <w:rPr>
          <w:rFonts w:ascii="仿宋_GB2312" w:eastAsia="仿宋_GB2312" w:hint="eastAsia"/>
          <w:sz w:val="32"/>
          <w:szCs w:val="32"/>
        </w:rPr>
        <w:t>一是用好非税收入收缴电子化及财政电子票据管理新系统，实现了非税收入全流程一体化管理、集中式控制、电子化收缴、智能化监控，财政票据监管力度进一步加大。二是严格控制暂付款增量，组织财政性结转结余资金、涉农资金、民生资金专项检查，累计</w:t>
      </w:r>
      <w:r>
        <w:rPr>
          <w:rFonts w:ascii="仿宋_GB2312" w:eastAsia="仿宋_GB2312" w:hAnsi="仿宋" w:cs="仿宋" w:hint="eastAsia"/>
          <w:color w:val="000000"/>
          <w:sz w:val="32"/>
          <w:szCs w:val="32"/>
        </w:rPr>
        <w:t>清理2018年以前往来款1.4亿元。三是</w:t>
      </w:r>
      <w:r>
        <w:rPr>
          <w:rFonts w:ascii="仿宋_GB2312" w:eastAsia="仿宋_GB2312" w:hint="eastAsia"/>
          <w:sz w:val="32"/>
          <w:szCs w:val="32"/>
        </w:rPr>
        <w:t>主动接受人民群众监督。要求全区各预算单位严格按照规定做好预决算公开工作，定期向正风肃纪监督平台报送数据。</w:t>
      </w:r>
    </w:p>
    <w:p w:rsidR="00F41E5B" w:rsidRDefault="00F41E5B" w:rsidP="00F41E5B">
      <w:pPr>
        <w:spacing w:line="600" w:lineRule="exact"/>
        <w:rPr>
          <w:rFonts w:ascii="仿宋_GB2312" w:eastAsia="仿宋_GB2312"/>
          <w:sz w:val="32"/>
          <w:szCs w:val="32"/>
        </w:rPr>
      </w:pPr>
      <w:r>
        <w:rPr>
          <w:rFonts w:ascii="仿宋_GB2312" w:eastAsia="仿宋_GB2312" w:hAnsi="楷体" w:hint="eastAsia"/>
          <w:b/>
          <w:sz w:val="32"/>
          <w:szCs w:val="32"/>
        </w:rPr>
        <w:t xml:space="preserve">    5.防控风险，强化政府债务管理。</w:t>
      </w:r>
      <w:r>
        <w:rPr>
          <w:rFonts w:ascii="仿宋_GB2312" w:eastAsia="仿宋_GB2312" w:hAnsi="楷体" w:hint="eastAsia"/>
          <w:bCs/>
          <w:sz w:val="32"/>
          <w:szCs w:val="32"/>
        </w:rPr>
        <w:t>坚决遏制债务增量，积极稳妥化解存量债务。一</w:t>
      </w:r>
      <w:r>
        <w:rPr>
          <w:rFonts w:ascii="仿宋_GB2312" w:eastAsia="仿宋_GB2312" w:hAnsi="楷体" w:hint="eastAsia"/>
          <w:sz w:val="32"/>
          <w:szCs w:val="32"/>
        </w:rPr>
        <w:t>是将政府债务本息纳入预算，多渠道谋划筹集资金。二是健全债务管理长效机制，严格按照《苏家屯区隐性债务风险化解方案》，稳妥化解存量债务。三是持续优化债务结构，降低债务成本，以隐性债务置换为重点，积极与多家金融机构进行沟通，推动债务置换工作，延长偿债年限，降低债务成本，有效缓解偿债压力。四是严守不发生区域性风险底线，确保我区债务风险在可控范围之内。</w:t>
      </w:r>
      <w:r>
        <w:rPr>
          <w:rFonts w:ascii="仿宋_GB2312" w:eastAsia="仿宋_GB2312" w:hint="eastAsia"/>
          <w:sz w:val="32"/>
          <w:szCs w:val="32"/>
        </w:rPr>
        <w:t xml:space="preserve">   </w:t>
      </w:r>
    </w:p>
    <w:p w:rsidR="00F41E5B" w:rsidRDefault="00F41E5B" w:rsidP="00F41E5B">
      <w:pPr>
        <w:spacing w:line="600" w:lineRule="exact"/>
        <w:ind w:firstLineChars="200" w:firstLine="640"/>
        <w:rPr>
          <w:rFonts w:ascii="仿宋_GB2312" w:eastAsia="仿宋_GB2312"/>
          <w:sz w:val="32"/>
          <w:szCs w:val="32"/>
        </w:rPr>
      </w:pPr>
      <w:r>
        <w:rPr>
          <w:rFonts w:ascii="仿宋_GB2312" w:eastAsia="仿宋_GB2312" w:hint="eastAsia"/>
          <w:sz w:val="32"/>
          <w:szCs w:val="32"/>
        </w:rPr>
        <w:t>在区委、区政府的正确领导和周密部署下，在区人大全面监督和科学指导下，2021年全区财政运行状况总体较好，有力支持了全区经济社会健康发展。但在肯定成绩的同时，我们也清醒地认识到预算执行和财政工作中还存在着一些亟需化解的难题：</w:t>
      </w:r>
      <w:r>
        <w:rPr>
          <w:rFonts w:ascii="仿宋_GB2312" w:eastAsia="仿宋_GB2312" w:hint="eastAsia"/>
          <w:bCs/>
          <w:sz w:val="32"/>
          <w:szCs w:val="32"/>
        </w:rPr>
        <w:t>经</w:t>
      </w:r>
      <w:r>
        <w:rPr>
          <w:rFonts w:ascii="仿宋_GB2312" w:eastAsia="仿宋_GB2312" w:hint="eastAsia"/>
          <w:bCs/>
          <w:sz w:val="32"/>
          <w:szCs w:val="32"/>
        </w:rPr>
        <w:lastRenderedPageBreak/>
        <w:t>济形势的不确定性和疫情影响以及减税降费等政策性减收因素叠加，财政持续增收面临较大制</w:t>
      </w:r>
      <w:r>
        <w:rPr>
          <w:rFonts w:ascii="仿宋_GB2312" w:eastAsia="仿宋_GB2312" w:hint="eastAsia"/>
          <w:sz w:val="32"/>
          <w:szCs w:val="32"/>
        </w:rPr>
        <w:t>约;“三保”等刚性支出和重点支出不断增加，财政支出保障压力大；部门绩</w:t>
      </w:r>
      <w:r>
        <w:rPr>
          <w:rFonts w:ascii="仿宋_GB2312" w:eastAsia="仿宋_GB2312" w:hint="eastAsia"/>
          <w:bCs/>
          <w:sz w:val="32"/>
          <w:szCs w:val="32"/>
        </w:rPr>
        <w:t>效自评还不够规范，绩效结果运用还需要强化；政府债务风险不容忽视等等</w:t>
      </w:r>
      <w:r>
        <w:rPr>
          <w:rFonts w:ascii="仿宋_GB2312" w:eastAsia="仿宋_GB2312" w:hint="eastAsia"/>
          <w:sz w:val="32"/>
          <w:szCs w:val="32"/>
        </w:rPr>
        <w:t>。下一步，我们将高度重视这些困难和问题，紧紧围绕以上突出问题，发扬斗争精神，在今后的工作中着力改进和解决。</w:t>
      </w:r>
    </w:p>
    <w:p w:rsidR="00F41E5B" w:rsidRDefault="00F41E5B" w:rsidP="00F41E5B">
      <w:pPr>
        <w:spacing w:line="600" w:lineRule="exact"/>
        <w:ind w:firstLineChars="200" w:firstLine="640"/>
        <w:rPr>
          <w:rFonts w:ascii="仿宋_GB2312" w:eastAsia="仿宋_GB2312"/>
          <w:sz w:val="32"/>
          <w:szCs w:val="32"/>
        </w:rPr>
      </w:pPr>
      <w:r>
        <w:rPr>
          <w:rFonts w:ascii="黑体" w:eastAsia="黑体" w:hint="eastAsia"/>
          <w:sz w:val="32"/>
          <w:szCs w:val="32"/>
        </w:rPr>
        <w:t>二、2022年预算</w:t>
      </w:r>
      <w:r w:rsidR="00C62B1E">
        <w:rPr>
          <w:rFonts w:ascii="黑体" w:eastAsia="黑体" w:hint="eastAsia"/>
          <w:sz w:val="32"/>
          <w:szCs w:val="32"/>
        </w:rPr>
        <w:t>草</w:t>
      </w:r>
      <w:r>
        <w:rPr>
          <w:rFonts w:ascii="黑体" w:eastAsia="黑体" w:hint="eastAsia"/>
          <w:sz w:val="32"/>
          <w:szCs w:val="32"/>
        </w:rPr>
        <w:t>案</w:t>
      </w:r>
    </w:p>
    <w:p w:rsidR="005B3B7A" w:rsidRDefault="00F41E5B" w:rsidP="005B3B7A">
      <w:pPr>
        <w:spacing w:line="600" w:lineRule="exact"/>
        <w:ind w:firstLineChars="200" w:firstLine="640"/>
        <w:rPr>
          <w:rFonts w:ascii="仿宋_GB2312" w:eastAsia="仿宋_GB2312"/>
          <w:sz w:val="32"/>
          <w:szCs w:val="32"/>
        </w:rPr>
      </w:pPr>
      <w:r>
        <w:rPr>
          <w:rFonts w:ascii="仿宋_GB2312" w:eastAsia="仿宋_GB2312" w:hint="eastAsia"/>
          <w:sz w:val="32"/>
          <w:szCs w:val="32"/>
        </w:rPr>
        <w:t>2022年，我区财政工作仍将面临巨大挑战，因此我们将增强机遇意识和风险意识，正视经济运行中的不确定因素，实事求是，积极稳妥地安排 2022年预算。</w:t>
      </w:r>
      <w:r>
        <w:rPr>
          <w:rStyle w:val="bjh-p"/>
          <w:rFonts w:ascii="仿宋_GB2312" w:eastAsia="仿宋_GB2312" w:hint="eastAsia"/>
          <w:sz w:val="32"/>
          <w:szCs w:val="32"/>
        </w:rPr>
        <w:t>我区2022年预算编制的总体思路是：</w:t>
      </w:r>
      <w:r>
        <w:rPr>
          <w:rFonts w:ascii="仿宋_GB2312" w:eastAsia="仿宋_GB2312" w:hint="eastAsia"/>
          <w:sz w:val="32"/>
          <w:szCs w:val="32"/>
        </w:rPr>
        <w:t>以习近平新时代中国特色社会主义思想为指导，全面贯彻党的十九大和十九届二中、三中、四中、五中、六中全会精神，深入落实习近平总书记关于东北、辽宁振兴发展的重要讲话和指示批示精神，</w:t>
      </w:r>
      <w:r>
        <w:rPr>
          <w:rStyle w:val="bjh-p"/>
          <w:rFonts w:ascii="仿宋_GB2312" w:eastAsia="仿宋_GB2312" w:hint="eastAsia"/>
          <w:sz w:val="32"/>
          <w:szCs w:val="32"/>
        </w:rPr>
        <w:t>按照区委经济工作会议部署</w:t>
      </w:r>
      <w:r>
        <w:rPr>
          <w:rFonts w:ascii="仿宋_GB2312" w:eastAsia="仿宋_GB2312" w:hint="eastAsia"/>
          <w:sz w:val="32"/>
          <w:szCs w:val="32"/>
        </w:rPr>
        <w:t>，在疫情防控常态化前提下坚持稳中求进工作总基调，坚持新发展理念，以收定支、提质增效，继续牢固树立过紧日子的思想，坚持零基预算的原则，全面实施预算绩效管理，控制行政运行成本，提高财政资金配置效率和使用效益，强化政府债务管理，不断提高防范政府风险意识，推进财政一体化管理体系建设，为我区实现加速崛起提供有力保障。</w:t>
      </w:r>
    </w:p>
    <w:p w:rsidR="00F41E5B" w:rsidRPr="005B3B7A" w:rsidRDefault="00F41E5B" w:rsidP="005B3B7A">
      <w:pPr>
        <w:spacing w:line="600" w:lineRule="exact"/>
        <w:ind w:firstLineChars="200" w:firstLine="640"/>
        <w:rPr>
          <w:rFonts w:ascii="仿宋_GB2312" w:eastAsia="仿宋_GB2312"/>
          <w:sz w:val="32"/>
          <w:szCs w:val="32"/>
        </w:rPr>
      </w:pPr>
      <w:r>
        <w:rPr>
          <w:rFonts w:ascii="楷体_GB2312" w:eastAsia="楷体_GB2312" w:hAnsi="仿宋_GB2312" w:cs="仿宋_GB2312" w:hint="eastAsia"/>
          <w:sz w:val="32"/>
          <w:szCs w:val="32"/>
        </w:rPr>
        <w:t>（一）一般公共预算收支安排</w:t>
      </w:r>
    </w:p>
    <w:p w:rsidR="00246200" w:rsidRPr="00246200" w:rsidRDefault="00246200" w:rsidP="00246200">
      <w:pPr>
        <w:ind w:firstLineChars="196" w:firstLine="630"/>
        <w:rPr>
          <w:rFonts w:ascii="仿宋_GB2312" w:eastAsia="仿宋_GB2312"/>
          <w:sz w:val="32"/>
          <w:szCs w:val="32"/>
        </w:rPr>
      </w:pPr>
      <w:r w:rsidRPr="00246200">
        <w:rPr>
          <w:rFonts w:ascii="仿宋_GB2312" w:eastAsia="仿宋_GB2312"/>
          <w:b/>
          <w:sz w:val="32"/>
          <w:szCs w:val="32"/>
        </w:rPr>
        <w:t>1.收入。</w:t>
      </w:r>
      <w:r w:rsidRPr="00246200">
        <w:rPr>
          <w:rFonts w:ascii="仿宋_GB2312" w:eastAsia="仿宋_GB2312"/>
          <w:sz w:val="32"/>
          <w:szCs w:val="32"/>
        </w:rPr>
        <w:t>2022年一般公共预算收入拟安排2</w:t>
      </w:r>
      <w:r w:rsidRPr="00246200">
        <w:rPr>
          <w:rFonts w:ascii="仿宋_GB2312" w:eastAsia="仿宋_GB2312" w:hint="eastAsia"/>
          <w:sz w:val="32"/>
          <w:szCs w:val="32"/>
        </w:rPr>
        <w:t>9.48</w:t>
      </w:r>
      <w:r w:rsidRPr="00246200">
        <w:rPr>
          <w:rFonts w:ascii="仿宋_GB2312" w:eastAsia="仿宋_GB2312"/>
          <w:sz w:val="32"/>
          <w:szCs w:val="32"/>
        </w:rPr>
        <w:t>亿元，比今</w:t>
      </w:r>
      <w:r w:rsidRPr="00246200">
        <w:rPr>
          <w:rFonts w:ascii="仿宋_GB2312" w:eastAsia="仿宋_GB2312"/>
          <w:sz w:val="32"/>
          <w:szCs w:val="32"/>
        </w:rPr>
        <w:lastRenderedPageBreak/>
        <w:t>年(预计完成额，下同)增加</w:t>
      </w:r>
      <w:r w:rsidRPr="00246200">
        <w:rPr>
          <w:rFonts w:ascii="仿宋_GB2312" w:eastAsia="仿宋_GB2312" w:hint="eastAsia"/>
          <w:sz w:val="32"/>
          <w:szCs w:val="32"/>
        </w:rPr>
        <w:t>2.19</w:t>
      </w:r>
      <w:r w:rsidRPr="00246200">
        <w:rPr>
          <w:rFonts w:ascii="仿宋_GB2312" w:eastAsia="仿宋_GB2312"/>
          <w:sz w:val="32"/>
          <w:szCs w:val="32"/>
        </w:rPr>
        <w:t>亿元，增长</w:t>
      </w:r>
      <w:r w:rsidRPr="00246200">
        <w:rPr>
          <w:rFonts w:ascii="仿宋_GB2312" w:eastAsia="仿宋_GB2312" w:hint="eastAsia"/>
          <w:sz w:val="32"/>
          <w:szCs w:val="32"/>
        </w:rPr>
        <w:t>8</w:t>
      </w:r>
      <w:r w:rsidRPr="00246200">
        <w:rPr>
          <w:rFonts w:ascii="仿宋_GB2312" w:eastAsia="仿宋_GB2312"/>
          <w:sz w:val="32"/>
          <w:szCs w:val="32"/>
        </w:rPr>
        <w:t>%。其中：税收收入26.</w:t>
      </w:r>
      <w:r w:rsidRPr="00246200">
        <w:rPr>
          <w:rFonts w:ascii="仿宋_GB2312" w:eastAsia="仿宋_GB2312" w:hint="eastAsia"/>
          <w:sz w:val="32"/>
          <w:szCs w:val="32"/>
        </w:rPr>
        <w:t>98</w:t>
      </w:r>
      <w:r w:rsidRPr="00246200">
        <w:rPr>
          <w:rFonts w:ascii="仿宋_GB2312" w:eastAsia="仿宋_GB2312"/>
          <w:sz w:val="32"/>
          <w:szCs w:val="32"/>
        </w:rPr>
        <w:t>亿元，同比增加</w:t>
      </w:r>
      <w:r w:rsidRPr="00246200">
        <w:rPr>
          <w:rFonts w:ascii="仿宋_GB2312" w:eastAsia="仿宋_GB2312" w:hint="eastAsia"/>
          <w:sz w:val="32"/>
          <w:szCs w:val="32"/>
        </w:rPr>
        <w:t>2.01</w:t>
      </w:r>
      <w:r w:rsidRPr="00246200">
        <w:rPr>
          <w:rFonts w:ascii="仿宋_GB2312" w:eastAsia="仿宋_GB2312"/>
          <w:sz w:val="32"/>
          <w:szCs w:val="32"/>
        </w:rPr>
        <w:t>亿元，增长</w:t>
      </w:r>
      <w:r w:rsidRPr="00246200">
        <w:rPr>
          <w:rFonts w:ascii="仿宋_GB2312" w:eastAsia="仿宋_GB2312" w:hint="eastAsia"/>
          <w:sz w:val="32"/>
          <w:szCs w:val="32"/>
        </w:rPr>
        <w:t>8</w:t>
      </w:r>
      <w:r w:rsidRPr="00246200">
        <w:rPr>
          <w:rFonts w:ascii="仿宋_GB2312" w:eastAsia="仿宋_GB2312"/>
          <w:sz w:val="32"/>
          <w:szCs w:val="32"/>
        </w:rPr>
        <w:t>%；非税收入2.</w:t>
      </w:r>
      <w:r w:rsidRPr="00246200">
        <w:rPr>
          <w:rFonts w:ascii="仿宋_GB2312" w:eastAsia="仿宋_GB2312" w:hint="eastAsia"/>
          <w:sz w:val="32"/>
          <w:szCs w:val="32"/>
        </w:rPr>
        <w:t>5</w:t>
      </w:r>
      <w:r w:rsidRPr="00246200">
        <w:rPr>
          <w:rFonts w:ascii="仿宋_GB2312" w:eastAsia="仿宋_GB2312"/>
          <w:sz w:val="32"/>
          <w:szCs w:val="32"/>
        </w:rPr>
        <w:t>亿元，同比增加</w:t>
      </w:r>
      <w:r w:rsidRPr="00246200">
        <w:rPr>
          <w:rFonts w:ascii="仿宋_GB2312" w:eastAsia="仿宋_GB2312" w:hint="eastAsia"/>
          <w:sz w:val="32"/>
          <w:szCs w:val="32"/>
        </w:rPr>
        <w:t>0.18亿</w:t>
      </w:r>
      <w:r w:rsidRPr="00246200">
        <w:rPr>
          <w:rFonts w:ascii="仿宋_GB2312" w:eastAsia="仿宋_GB2312"/>
          <w:sz w:val="32"/>
          <w:szCs w:val="32"/>
        </w:rPr>
        <w:t>元，增长</w:t>
      </w:r>
      <w:r w:rsidRPr="00246200">
        <w:rPr>
          <w:rFonts w:ascii="仿宋_GB2312" w:eastAsia="仿宋_GB2312" w:hint="eastAsia"/>
          <w:sz w:val="32"/>
          <w:szCs w:val="32"/>
        </w:rPr>
        <w:t>7.8</w:t>
      </w:r>
      <w:r w:rsidRPr="00246200">
        <w:rPr>
          <w:rFonts w:ascii="仿宋_GB2312" w:eastAsia="仿宋_GB2312"/>
          <w:sz w:val="32"/>
          <w:szCs w:val="32"/>
        </w:rPr>
        <w:t>%。税收占一般公共预算收入的比重为</w:t>
      </w:r>
      <w:r w:rsidRPr="00246200">
        <w:rPr>
          <w:rFonts w:ascii="仿宋_GB2312" w:eastAsia="仿宋_GB2312" w:hint="eastAsia"/>
          <w:sz w:val="32"/>
          <w:szCs w:val="32"/>
        </w:rPr>
        <w:t>91.5</w:t>
      </w:r>
      <w:r w:rsidRPr="00246200">
        <w:rPr>
          <w:rFonts w:ascii="仿宋_GB2312" w:eastAsia="仿宋_GB2312"/>
          <w:sz w:val="32"/>
          <w:szCs w:val="32"/>
        </w:rPr>
        <w:t>%，</w:t>
      </w:r>
      <w:r w:rsidRPr="00246200">
        <w:rPr>
          <w:rFonts w:ascii="仿宋_GB2312" w:eastAsia="仿宋_GB2312" w:hint="eastAsia"/>
          <w:sz w:val="32"/>
          <w:szCs w:val="32"/>
        </w:rPr>
        <w:t>占比与2021年持平。</w:t>
      </w:r>
    </w:p>
    <w:p w:rsidR="00246200" w:rsidRPr="00246200" w:rsidRDefault="00246200" w:rsidP="00246200">
      <w:pPr>
        <w:ind w:firstLineChars="200" w:firstLine="643"/>
        <w:rPr>
          <w:rFonts w:ascii="仿宋_GB2312" w:eastAsia="仿宋_GB2312"/>
          <w:sz w:val="32"/>
          <w:szCs w:val="32"/>
        </w:rPr>
      </w:pPr>
      <w:r w:rsidRPr="00246200">
        <w:rPr>
          <w:rFonts w:ascii="仿宋_GB2312" w:eastAsia="仿宋_GB2312"/>
          <w:b/>
          <w:sz w:val="32"/>
          <w:szCs w:val="32"/>
        </w:rPr>
        <w:t>2.支出。</w:t>
      </w:r>
      <w:r w:rsidRPr="00246200">
        <w:rPr>
          <w:rFonts w:ascii="仿宋_GB2312" w:eastAsia="仿宋_GB2312"/>
          <w:sz w:val="32"/>
          <w:szCs w:val="32"/>
        </w:rPr>
        <w:t>收入安排</w:t>
      </w:r>
      <w:r w:rsidRPr="00246200">
        <w:rPr>
          <w:rFonts w:ascii="仿宋_GB2312" w:eastAsia="仿宋_GB2312" w:hint="eastAsia"/>
          <w:sz w:val="32"/>
          <w:szCs w:val="32"/>
        </w:rPr>
        <w:t>29.48</w:t>
      </w:r>
      <w:r w:rsidRPr="00246200">
        <w:rPr>
          <w:rFonts w:ascii="仿宋_GB2312" w:eastAsia="仿宋_GB2312"/>
          <w:sz w:val="32"/>
          <w:szCs w:val="32"/>
        </w:rPr>
        <w:t>亿元，加上已确定的上级财政补助等收入6.93亿元、从基金收入中调入资金7.74亿元、上年结余收入1.5亿元、预算稳定调节基金调入资金0.2亿元，同时扣除上解上级财政等支出</w:t>
      </w:r>
      <w:r w:rsidRPr="00246200">
        <w:rPr>
          <w:rFonts w:ascii="仿宋_GB2312" w:eastAsia="仿宋_GB2312" w:hint="eastAsia"/>
          <w:sz w:val="32"/>
          <w:szCs w:val="32"/>
        </w:rPr>
        <w:t>11</w:t>
      </w:r>
      <w:r w:rsidRPr="00246200">
        <w:rPr>
          <w:rFonts w:ascii="仿宋_GB2312" w:eastAsia="仿宋_GB2312"/>
          <w:sz w:val="32"/>
          <w:szCs w:val="32"/>
        </w:rPr>
        <w:t>亿元，当年可供安排的财力总额为</w:t>
      </w:r>
      <w:r w:rsidRPr="00246200">
        <w:rPr>
          <w:rFonts w:ascii="仿宋_GB2312" w:eastAsia="仿宋_GB2312" w:hint="eastAsia"/>
          <w:sz w:val="32"/>
          <w:szCs w:val="32"/>
        </w:rPr>
        <w:t>34.85</w:t>
      </w:r>
      <w:r w:rsidRPr="00246200">
        <w:rPr>
          <w:rFonts w:ascii="仿宋_GB2312" w:eastAsia="仿宋_GB2312"/>
          <w:sz w:val="32"/>
          <w:szCs w:val="32"/>
        </w:rPr>
        <w:t>亿元，按照收支平衡的预算编制原则，支出预算拟安排</w:t>
      </w:r>
      <w:r w:rsidRPr="00246200">
        <w:rPr>
          <w:rFonts w:ascii="仿宋_GB2312" w:eastAsia="仿宋_GB2312" w:hint="eastAsia"/>
          <w:sz w:val="32"/>
          <w:szCs w:val="32"/>
        </w:rPr>
        <w:t>33.15</w:t>
      </w:r>
      <w:r w:rsidRPr="00246200">
        <w:rPr>
          <w:rFonts w:ascii="仿宋_GB2312" w:eastAsia="仿宋_GB2312"/>
          <w:sz w:val="32"/>
          <w:szCs w:val="32"/>
        </w:rPr>
        <w:t>亿元，比今年(预计完成额，下同)增支5.</w:t>
      </w:r>
      <w:r w:rsidRPr="00246200">
        <w:rPr>
          <w:rFonts w:ascii="仿宋_GB2312" w:eastAsia="仿宋_GB2312" w:hint="eastAsia"/>
          <w:sz w:val="32"/>
          <w:szCs w:val="32"/>
        </w:rPr>
        <w:t>59</w:t>
      </w:r>
      <w:r w:rsidRPr="00246200">
        <w:rPr>
          <w:rFonts w:ascii="仿宋_GB2312" w:eastAsia="仿宋_GB2312"/>
          <w:sz w:val="32"/>
          <w:szCs w:val="32"/>
        </w:rPr>
        <w:t>亿元，增长</w:t>
      </w:r>
      <w:r w:rsidRPr="00246200">
        <w:rPr>
          <w:rFonts w:ascii="仿宋_GB2312" w:eastAsia="仿宋_GB2312" w:hint="eastAsia"/>
          <w:sz w:val="32"/>
          <w:szCs w:val="32"/>
        </w:rPr>
        <w:t>20.3</w:t>
      </w:r>
      <w:r w:rsidRPr="00246200">
        <w:rPr>
          <w:rFonts w:ascii="仿宋_GB2312" w:eastAsia="仿宋_GB2312"/>
          <w:sz w:val="32"/>
          <w:szCs w:val="32"/>
        </w:rPr>
        <w:t>%、拟安排预算稳定调节基金0.2亿元、结转下年资金1.5亿元。</w:t>
      </w:r>
    </w:p>
    <w:p w:rsidR="00246200" w:rsidRPr="00246200" w:rsidRDefault="00246200" w:rsidP="00246200">
      <w:pPr>
        <w:ind w:firstLineChars="200" w:firstLine="640"/>
        <w:rPr>
          <w:rFonts w:ascii="仿宋_GB2312" w:eastAsia="仿宋_GB2312"/>
          <w:sz w:val="32"/>
          <w:szCs w:val="32"/>
        </w:rPr>
      </w:pPr>
      <w:r w:rsidRPr="00246200">
        <w:rPr>
          <w:rFonts w:ascii="仿宋_GB2312" w:eastAsia="仿宋_GB2312"/>
          <w:sz w:val="32"/>
          <w:szCs w:val="32"/>
        </w:rPr>
        <w:t>支出主要用于以下方面：一般公共服务支出（党政群团经费）3.86亿元；公共安全支出（公检法司经费）1.22亿元；教育支出5.35亿元；社会保障和就业支出9.52亿元；卫生健康支出2.47亿元；城乡社区支出1.13亿元；农林水事务支出2.</w:t>
      </w:r>
      <w:r w:rsidRPr="00246200">
        <w:rPr>
          <w:rFonts w:ascii="仿宋_GB2312" w:eastAsia="仿宋_GB2312" w:hint="eastAsia"/>
          <w:sz w:val="32"/>
          <w:szCs w:val="32"/>
        </w:rPr>
        <w:t>3</w:t>
      </w:r>
      <w:r w:rsidRPr="00246200">
        <w:rPr>
          <w:rFonts w:ascii="仿宋_GB2312" w:eastAsia="仿宋_GB2312"/>
          <w:sz w:val="32"/>
          <w:szCs w:val="32"/>
        </w:rPr>
        <w:t>亿元等。（支出增减变动的主要原因详见附表五）</w:t>
      </w:r>
    </w:p>
    <w:p w:rsidR="00F41E5B" w:rsidRPr="00246200" w:rsidRDefault="00F41E5B" w:rsidP="005B3B7A">
      <w:pPr>
        <w:spacing w:line="600" w:lineRule="exact"/>
        <w:ind w:firstLineChars="200" w:firstLine="640"/>
        <w:rPr>
          <w:rFonts w:ascii="仿宋_GB2312" w:eastAsia="仿宋_GB2312"/>
          <w:sz w:val="32"/>
          <w:szCs w:val="32"/>
        </w:rPr>
      </w:pPr>
      <w:r w:rsidRPr="00246200">
        <w:rPr>
          <w:rFonts w:ascii="仿宋_GB2312" w:eastAsia="仿宋_GB2312" w:hint="eastAsia"/>
          <w:sz w:val="32"/>
          <w:szCs w:val="32"/>
        </w:rPr>
        <w:t>（二）基金预算收支安排</w:t>
      </w:r>
    </w:p>
    <w:p w:rsidR="00F41E5B" w:rsidRPr="00246200" w:rsidRDefault="00F41E5B" w:rsidP="00246200">
      <w:pPr>
        <w:spacing w:line="600" w:lineRule="exact"/>
        <w:ind w:firstLineChars="200" w:firstLine="643"/>
        <w:rPr>
          <w:rFonts w:ascii="仿宋_GB2312" w:eastAsia="仿宋_GB2312"/>
          <w:sz w:val="32"/>
          <w:szCs w:val="32"/>
        </w:rPr>
      </w:pPr>
      <w:r w:rsidRPr="00246200">
        <w:rPr>
          <w:rFonts w:ascii="仿宋_GB2312" w:eastAsia="仿宋_GB2312" w:hint="eastAsia"/>
          <w:b/>
          <w:sz w:val="32"/>
          <w:szCs w:val="32"/>
        </w:rPr>
        <w:t>1.收入。</w:t>
      </w:r>
      <w:r w:rsidRPr="00246200">
        <w:rPr>
          <w:rFonts w:ascii="仿宋_GB2312" w:eastAsia="仿宋_GB2312" w:hint="eastAsia"/>
          <w:sz w:val="32"/>
          <w:szCs w:val="32"/>
        </w:rPr>
        <w:t>基金收入拟安排34.7亿元，比今年(预计完成额，下同)增加18.22亿元，增长110.5%。其中国有土地使用权出让收入拟安排33亿元，比今年增加17.98亿元，增长119.7%。</w:t>
      </w:r>
    </w:p>
    <w:p w:rsidR="00F41E5B" w:rsidRPr="00246200" w:rsidRDefault="00F41E5B" w:rsidP="00246200">
      <w:pPr>
        <w:spacing w:line="600" w:lineRule="exact"/>
        <w:ind w:firstLineChars="200" w:firstLine="643"/>
        <w:rPr>
          <w:rFonts w:ascii="仿宋_GB2312" w:eastAsia="仿宋_GB2312"/>
          <w:sz w:val="32"/>
          <w:szCs w:val="32"/>
        </w:rPr>
      </w:pPr>
      <w:r w:rsidRPr="00246200">
        <w:rPr>
          <w:rFonts w:ascii="仿宋_GB2312" w:eastAsia="仿宋_GB2312" w:hint="eastAsia"/>
          <w:b/>
          <w:sz w:val="32"/>
          <w:szCs w:val="32"/>
        </w:rPr>
        <w:t>2.支出。</w:t>
      </w:r>
      <w:r w:rsidRPr="00246200">
        <w:rPr>
          <w:rFonts w:ascii="仿宋_GB2312" w:eastAsia="仿宋_GB2312" w:hint="eastAsia"/>
          <w:sz w:val="32"/>
          <w:szCs w:val="32"/>
        </w:rPr>
        <w:t>基金预算收入34.7亿元，减去调入到一般公共预算</w:t>
      </w:r>
      <w:r w:rsidRPr="00246200">
        <w:rPr>
          <w:rFonts w:ascii="仿宋_GB2312" w:eastAsia="仿宋_GB2312" w:hint="eastAsia"/>
          <w:sz w:val="32"/>
          <w:szCs w:val="32"/>
        </w:rPr>
        <w:lastRenderedPageBreak/>
        <w:t>的资金7.74亿元，实现财力26.96亿元。基金支出拟安排26.96亿元，其中:政府投资项目专项资金5.2亿元、征拆补偿款2亿元、华夏建设资金2亿元、异地购买土地指标款2亿元、债务还本付息资金11.79亿元等。</w:t>
      </w:r>
    </w:p>
    <w:p w:rsidR="00F41E5B" w:rsidRPr="00F41E5B" w:rsidRDefault="00F41E5B" w:rsidP="00F41E5B">
      <w:pPr>
        <w:spacing w:line="600" w:lineRule="exact"/>
        <w:ind w:firstLineChars="200" w:firstLine="640"/>
        <w:rPr>
          <w:rFonts w:ascii="仿宋_GB2312" w:eastAsia="仿宋_GB2312" w:hAnsi="仿宋"/>
          <w:sz w:val="32"/>
          <w:szCs w:val="32"/>
        </w:rPr>
      </w:pPr>
      <w:r>
        <w:rPr>
          <w:rFonts w:ascii="楷体_GB2312" w:eastAsia="楷体_GB2312" w:hAnsi="仿宋_GB2312" w:cs="仿宋_GB2312" w:hint="eastAsia"/>
          <w:sz w:val="32"/>
          <w:szCs w:val="32"/>
        </w:rPr>
        <w:t>（三）社保基金预算收支安排</w:t>
      </w:r>
    </w:p>
    <w:p w:rsidR="000D1105" w:rsidRDefault="00F41E5B" w:rsidP="000D1105">
      <w:pPr>
        <w:spacing w:line="600" w:lineRule="exact"/>
        <w:ind w:firstLineChars="196" w:firstLine="627"/>
        <w:rPr>
          <w:rFonts w:ascii="仿宋_GB2312" w:eastAsia="仿宋_GB2312" w:hAnsi="仿宋"/>
          <w:sz w:val="32"/>
          <w:szCs w:val="32"/>
        </w:rPr>
      </w:pPr>
      <w:r>
        <w:rPr>
          <w:rFonts w:ascii="仿宋_GB2312" w:eastAsia="仿宋_GB2312" w:hAnsi="仿宋" w:hint="eastAsia"/>
          <w:sz w:val="32"/>
          <w:szCs w:val="32"/>
        </w:rPr>
        <w:t>社保基金预算由省市统筹管理，收入全部入省级国库，支出由省、市、区三级统筹，我区支出数按照上级下达指标数予以配套，资金来源全部为区本级财力安排。2022年预算支出总计5.43亿元，其中：财政对企业养老保险补助0.6亿元；财政对机关事业养老保险补助3.39亿元；财政对城乡居民养老保险补助0.87亿元；财政对被征地农民养老保险补助0.2亿元；财政对城镇居民基本医疗保险补助0.37亿元。</w:t>
      </w:r>
    </w:p>
    <w:p w:rsidR="00F41E5B" w:rsidRPr="000D1105" w:rsidRDefault="00F41E5B" w:rsidP="000D1105">
      <w:pPr>
        <w:spacing w:line="600" w:lineRule="exact"/>
        <w:ind w:firstLineChars="196" w:firstLine="627"/>
        <w:rPr>
          <w:rFonts w:ascii="仿宋_GB2312" w:eastAsia="仿宋_GB2312" w:hAnsi="仿宋"/>
          <w:sz w:val="32"/>
          <w:szCs w:val="32"/>
        </w:rPr>
      </w:pPr>
      <w:r>
        <w:rPr>
          <w:rFonts w:ascii="楷体_GB2312" w:eastAsia="楷体_GB2312" w:hAnsi="仿宋_GB2312" w:cs="仿宋_GB2312" w:hint="eastAsia"/>
          <w:sz w:val="32"/>
          <w:szCs w:val="32"/>
        </w:rPr>
        <w:t>（四）国有资本经营预算安排</w:t>
      </w:r>
    </w:p>
    <w:p w:rsidR="00F41E5B" w:rsidRDefault="00F41E5B" w:rsidP="00F41E5B">
      <w:pPr>
        <w:spacing w:line="600" w:lineRule="exact"/>
        <w:ind w:firstLineChars="196" w:firstLine="627"/>
        <w:rPr>
          <w:rFonts w:ascii="仿宋_GB2312" w:eastAsia="仿宋_GB2312" w:hAnsi="仿宋"/>
          <w:sz w:val="32"/>
          <w:szCs w:val="32"/>
        </w:rPr>
      </w:pPr>
      <w:r>
        <w:rPr>
          <w:rFonts w:ascii="仿宋_GB2312" w:eastAsia="仿宋_GB2312" w:hAnsi="仿宋" w:hint="eastAsia"/>
          <w:sz w:val="32"/>
          <w:szCs w:val="32"/>
        </w:rPr>
        <w:t>区本级2022年国有资本经营预算收入350万元，具体收入项目为其他企业利润收入200万元、其他产权转让收入150万元。其他国有资本经营预算支出350万元，用于国有资产经营公司年度管理费用支出。</w:t>
      </w:r>
    </w:p>
    <w:p w:rsidR="005B3B7A" w:rsidRDefault="00F41E5B" w:rsidP="005B3B7A">
      <w:pPr>
        <w:spacing w:line="600" w:lineRule="exact"/>
        <w:ind w:firstLineChars="196" w:firstLine="630"/>
        <w:rPr>
          <w:rFonts w:ascii="仿宋_GB2312" w:eastAsia="仿宋_GB2312"/>
          <w:b/>
          <w:sz w:val="32"/>
          <w:szCs w:val="32"/>
        </w:rPr>
      </w:pPr>
      <w:r>
        <w:rPr>
          <w:rFonts w:ascii="仿宋_GB2312" w:eastAsia="仿宋_GB2312" w:hint="eastAsia"/>
          <w:b/>
          <w:sz w:val="32"/>
          <w:szCs w:val="32"/>
        </w:rPr>
        <w:t>(2022年预算安排的各项指标列入本汇报附件，请审阅)</w:t>
      </w:r>
    </w:p>
    <w:p w:rsidR="00F41E5B" w:rsidRPr="005B3B7A" w:rsidRDefault="00F41E5B" w:rsidP="005B3B7A">
      <w:pPr>
        <w:spacing w:line="600" w:lineRule="exact"/>
        <w:ind w:firstLineChars="196" w:firstLine="627"/>
        <w:rPr>
          <w:rFonts w:ascii="仿宋_GB2312" w:eastAsia="仿宋_GB2312"/>
          <w:b/>
          <w:sz w:val="32"/>
          <w:szCs w:val="32"/>
        </w:rPr>
      </w:pPr>
      <w:r>
        <w:rPr>
          <w:rFonts w:ascii="楷体_GB2312" w:eastAsia="楷体_GB2312" w:hAnsi="仿宋_GB2312" w:cs="仿宋_GB2312" w:hint="eastAsia"/>
          <w:sz w:val="32"/>
          <w:szCs w:val="32"/>
        </w:rPr>
        <w:t>（五）奋力完成 2022年预算任务</w:t>
      </w:r>
    </w:p>
    <w:p w:rsidR="00F41E5B" w:rsidRDefault="00F41E5B" w:rsidP="00F41E5B">
      <w:pPr>
        <w:spacing w:line="600" w:lineRule="exact"/>
        <w:ind w:firstLineChars="200" w:firstLine="643"/>
        <w:rPr>
          <w:rFonts w:ascii="仿宋_GB2312" w:eastAsia="仿宋_GB2312"/>
          <w:sz w:val="32"/>
          <w:szCs w:val="32"/>
        </w:rPr>
      </w:pPr>
      <w:r>
        <w:rPr>
          <w:rFonts w:ascii="仿宋_GB2312" w:eastAsia="仿宋_GB2312" w:hint="eastAsia"/>
          <w:b/>
          <w:sz w:val="32"/>
          <w:szCs w:val="32"/>
        </w:rPr>
        <w:t>1.抓管理促改革，突出特色求突破。</w:t>
      </w:r>
      <w:r>
        <w:rPr>
          <w:rFonts w:ascii="仿宋_GB2312" w:eastAsia="仿宋_GB2312" w:hint="eastAsia"/>
          <w:bCs/>
          <w:sz w:val="32"/>
          <w:szCs w:val="32"/>
        </w:rPr>
        <w:t>一是以预算管理一体化为契机，进一步推进部门零基预算，铺开预算绩效管理，抓实国库管理改革，深化非税收缴电子化改革，健全财经管理机制，以</w:t>
      </w:r>
      <w:r>
        <w:rPr>
          <w:rFonts w:ascii="仿宋_GB2312" w:eastAsia="仿宋_GB2312" w:hint="eastAsia"/>
          <w:bCs/>
          <w:sz w:val="32"/>
          <w:szCs w:val="32"/>
        </w:rPr>
        <w:lastRenderedPageBreak/>
        <w:t>更强管理、更全制度、更优服务做好2022年财政工作。二是加强财务人员队伍建设，建立</w:t>
      </w:r>
      <w:r>
        <w:rPr>
          <w:rFonts w:ascii="仿宋_GB2312" w:eastAsia="仿宋_GB2312" w:hint="eastAsia"/>
          <w:sz w:val="32"/>
          <w:szCs w:val="32"/>
        </w:rPr>
        <w:t>预算单位财务人员业务培训机制，重点提升“要、审、支、记”四种能力，提升财务人员专业素质。三是立足实际，</w:t>
      </w:r>
      <w:r>
        <w:rPr>
          <w:rFonts w:ascii="仿宋_GB2312" w:eastAsia="仿宋_GB2312" w:hint="eastAsia"/>
          <w:bCs/>
          <w:sz w:val="32"/>
          <w:szCs w:val="32"/>
        </w:rPr>
        <w:t>创新探索解决收支矛盾新方法，</w:t>
      </w:r>
      <w:r>
        <w:rPr>
          <w:rFonts w:ascii="仿宋_GB2312" w:eastAsia="仿宋_GB2312" w:hint="eastAsia"/>
          <w:sz w:val="32"/>
          <w:szCs w:val="32"/>
        </w:rPr>
        <w:t>建立区内纳税百强企业公示制度；牵头组建“行长联盟”，激活金融活力；与人寿财险、人保财险等深度合作，用好财政保险资金，促成更多险费回归。四是做实财税工作例会制度，共同解决征收工作难题，合力探索征收工作新思路，强化各部门之间的联动互动，及时提供必要的财政数据，促进全区各项经济指标齐步走。</w:t>
      </w:r>
    </w:p>
    <w:p w:rsidR="00F41E5B" w:rsidRDefault="00F41E5B" w:rsidP="00F41E5B">
      <w:pPr>
        <w:spacing w:line="600" w:lineRule="exact"/>
        <w:ind w:firstLineChars="200" w:firstLine="643"/>
        <w:rPr>
          <w:rFonts w:ascii="仿宋_GB2312" w:eastAsia="仿宋_GB2312"/>
          <w:sz w:val="32"/>
          <w:szCs w:val="32"/>
        </w:rPr>
      </w:pPr>
      <w:r>
        <w:rPr>
          <w:rFonts w:ascii="仿宋_GB2312" w:eastAsia="仿宋_GB2312" w:hint="eastAsia"/>
          <w:b/>
          <w:sz w:val="32"/>
          <w:szCs w:val="32"/>
        </w:rPr>
        <w:t>2.培财源增收入，突出平稳谋发展。</w:t>
      </w:r>
      <w:r>
        <w:rPr>
          <w:rFonts w:ascii="仿宋_GB2312" w:eastAsia="仿宋_GB2312" w:hint="eastAsia"/>
          <w:sz w:val="32"/>
          <w:szCs w:val="32"/>
        </w:rPr>
        <w:t>一是加大对重点财源、新兴财源的扶持力度，树立“项目为王”意识，确保减税降费政策落实到位，培育壮大新的增长点，尽快</w:t>
      </w:r>
      <w:r>
        <w:rPr>
          <w:rFonts w:ascii="仿宋_GB2312" w:eastAsia="仿宋_GB2312" w:hint="eastAsia"/>
          <w:bCs/>
          <w:sz w:val="32"/>
          <w:szCs w:val="32"/>
        </w:rPr>
        <w:t>形成高质量税源。二是持续优化营商环境，树立“服务”意识，定期深入重点税源企业和招商引资项目，主动解决其</w:t>
      </w:r>
      <w:r>
        <w:rPr>
          <w:rFonts w:ascii="仿宋_GB2312" w:eastAsia="仿宋_GB2312" w:hint="eastAsia"/>
          <w:sz w:val="32"/>
          <w:szCs w:val="32"/>
        </w:rPr>
        <w:t>发展诉求，留住优质企业，保障持续税源。三是加强综合治税能力建设，完善收入征管机制，坚持勤征细管，定期围绕易漏税种开展清查，盯紧时序进度，做到应收尽收。四是整合闲置资产，提升资产使用效益，创造更多非税收入实现点。五是加强与上级财政部门的紧密联系，积极争取国家级、省级、市级各类发展专项资金和引导基金支持，配合做好项目准备、评估等工作，用足用好上级财政政策。</w:t>
      </w:r>
    </w:p>
    <w:p w:rsidR="00F41E5B" w:rsidRDefault="00F41E5B" w:rsidP="00F41E5B">
      <w:pPr>
        <w:spacing w:line="600" w:lineRule="exact"/>
        <w:ind w:firstLineChars="200" w:firstLine="643"/>
        <w:rPr>
          <w:rFonts w:ascii="仿宋_GB2312" w:eastAsia="仿宋_GB2312"/>
          <w:sz w:val="32"/>
          <w:szCs w:val="32"/>
        </w:rPr>
      </w:pPr>
      <w:r>
        <w:rPr>
          <w:rFonts w:ascii="仿宋_GB2312" w:eastAsia="仿宋_GB2312" w:hint="eastAsia"/>
          <w:b/>
          <w:sz w:val="32"/>
          <w:szCs w:val="32"/>
        </w:rPr>
        <w:t>3.控支出强保障，突出民祉固根本。</w:t>
      </w:r>
      <w:r>
        <w:rPr>
          <w:rFonts w:ascii="仿宋_GB2312" w:eastAsia="仿宋_GB2312" w:hint="eastAsia"/>
          <w:sz w:val="32"/>
          <w:szCs w:val="32"/>
        </w:rPr>
        <w:t>一是严控“三公”经费预算安排，过好政府紧日子，坚持厉行节约、勤俭办事、统筹安</w:t>
      </w:r>
      <w:r>
        <w:rPr>
          <w:rFonts w:ascii="仿宋_GB2312" w:eastAsia="仿宋_GB2312" w:hint="eastAsia"/>
          <w:sz w:val="32"/>
          <w:szCs w:val="32"/>
        </w:rPr>
        <w:lastRenderedPageBreak/>
        <w:t>排，大力压减一般性支出，将有限的资金用在刚性支出上。二是充分发挥绩效评价工作作用，按照《苏家屯区预算绩效管理试点工作方案》《苏家屯区预算绩效管理暂行办法》，对各部门业务专项、政府专项、基金专项项目均实行绩效评价，真正做到“要钱必问效，花钱必达效”，将绩效理念融入预算管理全过程。三是积极回应民生热点，关注“衣食住行”“生老病死”“安居乐业”，完善公共社会救助和保障标准与物价上涨挂钩联动机制，优先保障教育发展、公共卫生、环境整治、基础设施投入，切实提高人民群众福祉。</w:t>
      </w:r>
    </w:p>
    <w:p w:rsidR="00F41E5B" w:rsidRDefault="00F41E5B" w:rsidP="00F41E5B">
      <w:pPr>
        <w:spacing w:line="600" w:lineRule="exact"/>
        <w:ind w:firstLineChars="200" w:firstLine="643"/>
        <w:rPr>
          <w:rFonts w:ascii="仿宋_GB2312" w:eastAsia="仿宋_GB2312"/>
          <w:sz w:val="32"/>
          <w:szCs w:val="32"/>
        </w:rPr>
      </w:pPr>
      <w:r>
        <w:rPr>
          <w:rFonts w:ascii="仿宋_GB2312" w:eastAsia="仿宋_GB2312" w:hint="eastAsia"/>
          <w:b/>
          <w:sz w:val="32"/>
          <w:szCs w:val="32"/>
        </w:rPr>
        <w:t>4.强监管防风险，突出稳健保安全。</w:t>
      </w:r>
      <w:r>
        <w:rPr>
          <w:rFonts w:ascii="仿宋_GB2312" w:eastAsia="仿宋_GB2312" w:hint="eastAsia"/>
          <w:sz w:val="32"/>
          <w:szCs w:val="32"/>
        </w:rPr>
        <w:t>一是推动实现财政资金监管常态化，重点加强扶贫涉农、医疗保障、义务教育、生态环保等领域的资金的专项检查，让财经纪律成为“高压线”“防火墙”。二是做好非税收入日常管理工作，争取资产管理部门和各级执法部门支持，重点清查排查土地承包、房屋出租等收入入库情况，坚决杜绝相关资金缓交、截留。三是有效防范化解政府债务风险，落实政府债务限额管理和预算约束，健全政府债务风险防控机制，细化实化债务台账，定期报告债务状况，加强政府债务统计监测和风险预警，及时提出科学建议，坚决守住风险底线。</w:t>
      </w:r>
    </w:p>
    <w:p w:rsidR="00AA777D" w:rsidRPr="007C4EE5" w:rsidRDefault="00F41E5B" w:rsidP="00F41E5B">
      <w:pPr>
        <w:spacing w:line="600" w:lineRule="exact"/>
        <w:ind w:firstLineChars="200" w:firstLine="640"/>
        <w:rPr>
          <w:rFonts w:ascii="仿宋_GB2312" w:eastAsia="仿宋_GB2312" w:hAnsi="穝灿砰" w:hint="eastAsia"/>
          <w:sz w:val="32"/>
          <w:szCs w:val="32"/>
        </w:rPr>
      </w:pPr>
      <w:r>
        <w:rPr>
          <w:rFonts w:ascii="仿宋_GB2312" w:eastAsia="仿宋_GB2312" w:hint="eastAsia"/>
          <w:bCs/>
          <w:sz w:val="32"/>
          <w:szCs w:val="32"/>
        </w:rPr>
        <w:t>2022年</w:t>
      </w:r>
      <w:r>
        <w:rPr>
          <w:rFonts w:ascii="仿宋_GB2312" w:eastAsia="仿宋_GB2312" w:hint="eastAsia"/>
          <w:sz w:val="32"/>
          <w:szCs w:val="32"/>
        </w:rPr>
        <w:t>是迈向第二个百年奋斗目标的起步之年，</w:t>
      </w:r>
      <w:r>
        <w:rPr>
          <w:rFonts w:ascii="仿宋_GB2312" w:eastAsia="仿宋_GB2312" w:hint="eastAsia"/>
          <w:bCs/>
          <w:sz w:val="32"/>
          <w:szCs w:val="32"/>
        </w:rPr>
        <w:t>站在新的历史节点上，我区面临着前所未有的发展机遇和挑战，我们将紧紧围绕区委、区政府决策部署，以一往无前的奋斗姿态、风雨无阻的精神状态，扛起新担当、展现新作为，全力以赴完成2022年财</w:t>
      </w:r>
      <w:r>
        <w:rPr>
          <w:rFonts w:ascii="仿宋_GB2312" w:eastAsia="仿宋_GB2312" w:hint="eastAsia"/>
          <w:bCs/>
          <w:sz w:val="32"/>
          <w:szCs w:val="32"/>
        </w:rPr>
        <w:lastRenderedPageBreak/>
        <w:t>政工作各项目标任务，为实现苏家屯区加速崛起贡献力量！</w:t>
      </w:r>
    </w:p>
    <w:sectPr w:rsidR="00AA777D" w:rsidRPr="007C4EE5" w:rsidSect="00F83BBB">
      <w:footerReference w:type="default" r:id="rId6"/>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8FC" w:rsidRDefault="00B948FC" w:rsidP="006778E8">
      <w:r>
        <w:separator/>
      </w:r>
    </w:p>
  </w:endnote>
  <w:endnote w:type="continuationSeparator" w:id="1">
    <w:p w:rsidR="00B948FC" w:rsidRDefault="00B948FC" w:rsidP="006778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穝灿砰">
    <w:altName w:val="Times New Roman"/>
    <w:charset w:val="00"/>
    <w:family w:val="auto"/>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夹发砰">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宋体">
    <w:altName w:val="Adobe 仿宋 Std R"/>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3202"/>
      <w:docPartObj>
        <w:docPartGallery w:val="Page Numbers (Bottom of Page)"/>
        <w:docPartUnique/>
      </w:docPartObj>
    </w:sdtPr>
    <w:sdtContent>
      <w:p w:rsidR="00E06216" w:rsidRDefault="00E06216">
        <w:pPr>
          <w:pStyle w:val="a4"/>
          <w:jc w:val="center"/>
        </w:pPr>
        <w:r w:rsidRPr="004F5C96">
          <w:rPr>
            <w:rFonts w:eastAsia="华文宋体" w:hint="eastAsia"/>
            <w:sz w:val="24"/>
          </w:rPr>
          <w:t>第</w:t>
        </w:r>
        <w:r w:rsidR="0019347A" w:rsidRPr="004F5C96">
          <w:rPr>
            <w:rFonts w:eastAsia="华文宋体"/>
            <w:sz w:val="24"/>
          </w:rPr>
          <w:fldChar w:fldCharType="begin"/>
        </w:r>
        <w:r w:rsidRPr="004F5C96">
          <w:rPr>
            <w:rFonts w:eastAsia="华文宋体"/>
            <w:sz w:val="24"/>
          </w:rPr>
          <w:instrText xml:space="preserve"> PAGE   \* MERGEFORMAT </w:instrText>
        </w:r>
        <w:r w:rsidR="0019347A" w:rsidRPr="004F5C96">
          <w:rPr>
            <w:rFonts w:eastAsia="华文宋体"/>
            <w:sz w:val="24"/>
          </w:rPr>
          <w:fldChar w:fldCharType="separate"/>
        </w:r>
        <w:r w:rsidR="00C7284B" w:rsidRPr="00C7284B">
          <w:rPr>
            <w:rFonts w:eastAsia="华文宋体"/>
            <w:noProof/>
            <w:sz w:val="24"/>
            <w:lang w:val="zh-CN"/>
          </w:rPr>
          <w:t>8</w:t>
        </w:r>
        <w:r w:rsidR="0019347A" w:rsidRPr="004F5C96">
          <w:rPr>
            <w:rFonts w:eastAsia="华文宋体"/>
            <w:sz w:val="24"/>
          </w:rPr>
          <w:fldChar w:fldCharType="end"/>
        </w:r>
        <w:r w:rsidRPr="004F5C96">
          <w:rPr>
            <w:rFonts w:eastAsia="华文宋体" w:hint="eastAsia"/>
            <w:sz w:val="24"/>
          </w:rPr>
          <w:t>页</w:t>
        </w:r>
      </w:p>
    </w:sdtContent>
  </w:sdt>
  <w:p w:rsidR="00E06216" w:rsidRDefault="00E062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8FC" w:rsidRDefault="00B948FC" w:rsidP="006778E8">
      <w:r>
        <w:separator/>
      </w:r>
    </w:p>
  </w:footnote>
  <w:footnote w:type="continuationSeparator" w:id="1">
    <w:p w:rsidR="00B948FC" w:rsidRDefault="00B948FC" w:rsidP="006778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8E8"/>
    <w:rsid w:val="0003599E"/>
    <w:rsid w:val="00071C23"/>
    <w:rsid w:val="000758D1"/>
    <w:rsid w:val="00081925"/>
    <w:rsid w:val="000A6110"/>
    <w:rsid w:val="000B5596"/>
    <w:rsid w:val="000D0825"/>
    <w:rsid w:val="000D1105"/>
    <w:rsid w:val="000E23FE"/>
    <w:rsid w:val="00111889"/>
    <w:rsid w:val="001556C1"/>
    <w:rsid w:val="00192A0F"/>
    <w:rsid w:val="0019347A"/>
    <w:rsid w:val="00227F78"/>
    <w:rsid w:val="00241633"/>
    <w:rsid w:val="00246200"/>
    <w:rsid w:val="002815E5"/>
    <w:rsid w:val="00296AF6"/>
    <w:rsid w:val="002F4EF0"/>
    <w:rsid w:val="00310985"/>
    <w:rsid w:val="00337843"/>
    <w:rsid w:val="003A31C8"/>
    <w:rsid w:val="003F1DFF"/>
    <w:rsid w:val="004159C6"/>
    <w:rsid w:val="00452EF8"/>
    <w:rsid w:val="0045490B"/>
    <w:rsid w:val="00466D12"/>
    <w:rsid w:val="004A7424"/>
    <w:rsid w:val="004F0B88"/>
    <w:rsid w:val="004F5C96"/>
    <w:rsid w:val="00520504"/>
    <w:rsid w:val="00525033"/>
    <w:rsid w:val="00541DDD"/>
    <w:rsid w:val="0056327E"/>
    <w:rsid w:val="005B3B7A"/>
    <w:rsid w:val="0060110F"/>
    <w:rsid w:val="006015BC"/>
    <w:rsid w:val="00615922"/>
    <w:rsid w:val="00656A2B"/>
    <w:rsid w:val="00656BDD"/>
    <w:rsid w:val="006778E8"/>
    <w:rsid w:val="0068516F"/>
    <w:rsid w:val="00695435"/>
    <w:rsid w:val="006B7DB2"/>
    <w:rsid w:val="006D5FF2"/>
    <w:rsid w:val="006E03C1"/>
    <w:rsid w:val="006E210B"/>
    <w:rsid w:val="007129C3"/>
    <w:rsid w:val="00786482"/>
    <w:rsid w:val="007C4EE5"/>
    <w:rsid w:val="008106DB"/>
    <w:rsid w:val="008359B7"/>
    <w:rsid w:val="008413D5"/>
    <w:rsid w:val="00865E33"/>
    <w:rsid w:val="00892996"/>
    <w:rsid w:val="008C4439"/>
    <w:rsid w:val="008E2014"/>
    <w:rsid w:val="008E5195"/>
    <w:rsid w:val="008F058E"/>
    <w:rsid w:val="008F79F9"/>
    <w:rsid w:val="00900849"/>
    <w:rsid w:val="0090158B"/>
    <w:rsid w:val="0090699E"/>
    <w:rsid w:val="00931487"/>
    <w:rsid w:val="009C3F2F"/>
    <w:rsid w:val="009D0153"/>
    <w:rsid w:val="009E6F6C"/>
    <w:rsid w:val="00A03055"/>
    <w:rsid w:val="00A25665"/>
    <w:rsid w:val="00A4241E"/>
    <w:rsid w:val="00A61BF3"/>
    <w:rsid w:val="00A95A47"/>
    <w:rsid w:val="00AA777D"/>
    <w:rsid w:val="00AB482F"/>
    <w:rsid w:val="00AE06E3"/>
    <w:rsid w:val="00B215A5"/>
    <w:rsid w:val="00B32D44"/>
    <w:rsid w:val="00B373E2"/>
    <w:rsid w:val="00B61C23"/>
    <w:rsid w:val="00B91925"/>
    <w:rsid w:val="00B948FC"/>
    <w:rsid w:val="00BD3266"/>
    <w:rsid w:val="00BE09FB"/>
    <w:rsid w:val="00C1141E"/>
    <w:rsid w:val="00C62B1E"/>
    <w:rsid w:val="00C717DA"/>
    <w:rsid w:val="00C7284B"/>
    <w:rsid w:val="00C831B9"/>
    <w:rsid w:val="00C93F1D"/>
    <w:rsid w:val="00CA318C"/>
    <w:rsid w:val="00CB012A"/>
    <w:rsid w:val="00CB1D1C"/>
    <w:rsid w:val="00CD233A"/>
    <w:rsid w:val="00CD633E"/>
    <w:rsid w:val="00CE0340"/>
    <w:rsid w:val="00CF4C05"/>
    <w:rsid w:val="00D13EF9"/>
    <w:rsid w:val="00D4024F"/>
    <w:rsid w:val="00D438DA"/>
    <w:rsid w:val="00D93B97"/>
    <w:rsid w:val="00D93E26"/>
    <w:rsid w:val="00DC01A7"/>
    <w:rsid w:val="00DE6F03"/>
    <w:rsid w:val="00DF4D9C"/>
    <w:rsid w:val="00E06216"/>
    <w:rsid w:val="00E22B96"/>
    <w:rsid w:val="00E40EB3"/>
    <w:rsid w:val="00E45D66"/>
    <w:rsid w:val="00E463EE"/>
    <w:rsid w:val="00E53158"/>
    <w:rsid w:val="00E537F4"/>
    <w:rsid w:val="00E7186A"/>
    <w:rsid w:val="00F23558"/>
    <w:rsid w:val="00F257C8"/>
    <w:rsid w:val="00F41E5B"/>
    <w:rsid w:val="00F61CF7"/>
    <w:rsid w:val="00F64DBA"/>
    <w:rsid w:val="00F66E02"/>
    <w:rsid w:val="00F83BBB"/>
    <w:rsid w:val="00F87130"/>
    <w:rsid w:val="00FD5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78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78E8"/>
    <w:rPr>
      <w:sz w:val="18"/>
      <w:szCs w:val="18"/>
    </w:rPr>
  </w:style>
  <w:style w:type="paragraph" w:styleId="a4">
    <w:name w:val="footer"/>
    <w:basedOn w:val="a"/>
    <w:link w:val="Char0"/>
    <w:uiPriority w:val="99"/>
    <w:unhideWhenUsed/>
    <w:rsid w:val="006778E8"/>
    <w:pPr>
      <w:tabs>
        <w:tab w:val="center" w:pos="4153"/>
        <w:tab w:val="right" w:pos="8306"/>
      </w:tabs>
      <w:snapToGrid w:val="0"/>
      <w:jc w:val="left"/>
    </w:pPr>
    <w:rPr>
      <w:sz w:val="18"/>
      <w:szCs w:val="18"/>
    </w:rPr>
  </w:style>
  <w:style w:type="character" w:customStyle="1" w:styleId="Char0">
    <w:name w:val="页脚 Char"/>
    <w:basedOn w:val="a0"/>
    <w:link w:val="a4"/>
    <w:uiPriority w:val="99"/>
    <w:rsid w:val="006778E8"/>
    <w:rPr>
      <w:sz w:val="18"/>
      <w:szCs w:val="18"/>
    </w:rPr>
  </w:style>
  <w:style w:type="paragraph" w:customStyle="1" w:styleId="p0">
    <w:name w:val="p0"/>
    <w:basedOn w:val="a"/>
    <w:rsid w:val="006778E8"/>
    <w:pPr>
      <w:widowControl/>
      <w:spacing w:line="365" w:lineRule="atLeast"/>
      <w:ind w:left="1"/>
    </w:pPr>
    <w:rPr>
      <w:rFonts w:ascii="Times New Roman" w:eastAsia="宋体" w:hAnsi="Times New Roman" w:cs="Times New Roman"/>
      <w:kern w:val="0"/>
      <w:sz w:val="20"/>
      <w:szCs w:val="20"/>
    </w:rPr>
  </w:style>
  <w:style w:type="character" w:styleId="a5">
    <w:name w:val="Hyperlink"/>
    <w:basedOn w:val="a0"/>
    <w:rsid w:val="00E06216"/>
    <w:rPr>
      <w:strike w:val="0"/>
      <w:dstrike w:val="0"/>
      <w:color w:val="000000"/>
      <w:sz w:val="18"/>
      <w:szCs w:val="18"/>
      <w:u w:val="none"/>
      <w:effect w:val="none"/>
    </w:rPr>
  </w:style>
  <w:style w:type="paragraph" w:styleId="a6">
    <w:name w:val="Normal (Web)"/>
    <w:basedOn w:val="a"/>
    <w:rsid w:val="00E06216"/>
    <w:pPr>
      <w:widowControl/>
      <w:spacing w:before="100" w:beforeAutospacing="1" w:after="100" w:afterAutospacing="1" w:line="480" w:lineRule="auto"/>
      <w:jc w:val="left"/>
    </w:pPr>
    <w:rPr>
      <w:rFonts w:ascii="宋体" w:eastAsia="宋体" w:hAnsi="宋体" w:cs="宋体"/>
      <w:kern w:val="0"/>
      <w:sz w:val="24"/>
      <w:szCs w:val="24"/>
    </w:rPr>
  </w:style>
  <w:style w:type="character" w:customStyle="1" w:styleId="bjh-p">
    <w:name w:val="bjh-p"/>
    <w:basedOn w:val="a0"/>
    <w:qFormat/>
    <w:rsid w:val="007C4EE5"/>
  </w:style>
</w:styles>
</file>

<file path=word/webSettings.xml><?xml version="1.0" encoding="utf-8"?>
<w:webSettings xmlns:r="http://schemas.openxmlformats.org/officeDocument/2006/relationships" xmlns:w="http://schemas.openxmlformats.org/wordprocessingml/2006/main">
  <w:divs>
    <w:div w:id="230386651">
      <w:bodyDiv w:val="1"/>
      <w:marLeft w:val="0"/>
      <w:marRight w:val="0"/>
      <w:marTop w:val="0"/>
      <w:marBottom w:val="0"/>
      <w:divBdr>
        <w:top w:val="none" w:sz="0" w:space="0" w:color="auto"/>
        <w:left w:val="none" w:sz="0" w:space="0" w:color="auto"/>
        <w:bottom w:val="none" w:sz="0" w:space="0" w:color="auto"/>
        <w:right w:val="none" w:sz="0" w:space="0" w:color="auto"/>
      </w:divBdr>
    </w:div>
    <w:div w:id="379674594">
      <w:bodyDiv w:val="1"/>
      <w:marLeft w:val="0"/>
      <w:marRight w:val="0"/>
      <w:marTop w:val="0"/>
      <w:marBottom w:val="0"/>
      <w:divBdr>
        <w:top w:val="none" w:sz="0" w:space="0" w:color="auto"/>
        <w:left w:val="none" w:sz="0" w:space="0" w:color="auto"/>
        <w:bottom w:val="none" w:sz="0" w:space="0" w:color="auto"/>
        <w:right w:val="none" w:sz="0" w:space="0" w:color="auto"/>
      </w:divBdr>
    </w:div>
    <w:div w:id="1137919346">
      <w:bodyDiv w:val="1"/>
      <w:marLeft w:val="0"/>
      <w:marRight w:val="0"/>
      <w:marTop w:val="0"/>
      <w:marBottom w:val="0"/>
      <w:divBdr>
        <w:top w:val="none" w:sz="0" w:space="0" w:color="auto"/>
        <w:left w:val="none" w:sz="0" w:space="0" w:color="auto"/>
        <w:bottom w:val="none" w:sz="0" w:space="0" w:color="auto"/>
        <w:right w:val="none" w:sz="0" w:space="0" w:color="auto"/>
      </w:divBdr>
    </w:div>
    <w:div w:id="1138959475">
      <w:bodyDiv w:val="1"/>
      <w:marLeft w:val="0"/>
      <w:marRight w:val="0"/>
      <w:marTop w:val="0"/>
      <w:marBottom w:val="0"/>
      <w:divBdr>
        <w:top w:val="none" w:sz="0" w:space="0" w:color="auto"/>
        <w:left w:val="none" w:sz="0" w:space="0" w:color="auto"/>
        <w:bottom w:val="none" w:sz="0" w:space="0" w:color="auto"/>
        <w:right w:val="none" w:sz="0" w:space="0" w:color="auto"/>
      </w:divBdr>
    </w:div>
    <w:div w:id="1387217478">
      <w:bodyDiv w:val="1"/>
      <w:marLeft w:val="0"/>
      <w:marRight w:val="0"/>
      <w:marTop w:val="0"/>
      <w:marBottom w:val="0"/>
      <w:divBdr>
        <w:top w:val="none" w:sz="0" w:space="0" w:color="auto"/>
        <w:left w:val="none" w:sz="0" w:space="0" w:color="auto"/>
        <w:bottom w:val="none" w:sz="0" w:space="0" w:color="auto"/>
        <w:right w:val="none" w:sz="0" w:space="0" w:color="auto"/>
      </w:divBdr>
    </w:div>
    <w:div w:id="1608392473">
      <w:bodyDiv w:val="1"/>
      <w:marLeft w:val="0"/>
      <w:marRight w:val="0"/>
      <w:marTop w:val="0"/>
      <w:marBottom w:val="0"/>
      <w:divBdr>
        <w:top w:val="none" w:sz="0" w:space="0" w:color="auto"/>
        <w:left w:val="none" w:sz="0" w:space="0" w:color="auto"/>
        <w:bottom w:val="none" w:sz="0" w:space="0" w:color="auto"/>
        <w:right w:val="none" w:sz="0" w:space="0" w:color="auto"/>
      </w:divBdr>
    </w:div>
    <w:div w:id="1947034390">
      <w:bodyDiv w:val="1"/>
      <w:marLeft w:val="0"/>
      <w:marRight w:val="0"/>
      <w:marTop w:val="0"/>
      <w:marBottom w:val="0"/>
      <w:divBdr>
        <w:top w:val="none" w:sz="0" w:space="0" w:color="auto"/>
        <w:left w:val="none" w:sz="0" w:space="0" w:color="auto"/>
        <w:bottom w:val="none" w:sz="0" w:space="0" w:color="auto"/>
        <w:right w:val="none" w:sz="0" w:space="0" w:color="auto"/>
      </w:divBdr>
    </w:div>
    <w:div w:id="206340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12</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预算科-高爽</cp:lastModifiedBy>
  <cp:revision>63</cp:revision>
  <cp:lastPrinted>2021-12-04T08:11:00Z</cp:lastPrinted>
  <dcterms:created xsi:type="dcterms:W3CDTF">2014-12-10T01:12:00Z</dcterms:created>
  <dcterms:modified xsi:type="dcterms:W3CDTF">2021-12-04T08:30:00Z</dcterms:modified>
</cp:coreProperties>
</file>