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760" w:lineRule="exact"/>
        <w:jc w:val="center"/>
        <w:rPr>
          <w:rFonts w:hint="eastAsia" w:ascii="方正小标宋简体" w:hAnsi="宋体" w:eastAsia="方正小标宋简体"/>
          <w:bCs/>
          <w:sz w:val="44"/>
          <w:szCs w:val="44"/>
        </w:rPr>
      </w:pPr>
      <w:r>
        <w:rPr>
          <w:rFonts w:hint="eastAsia" w:ascii="黑体" w:hAnsi="黑体" w:eastAsia="黑体" w:cs="宋体"/>
          <w:kern w:val="10"/>
          <w:szCs w:val="21"/>
        </w:rPr>
        <w:pict>
          <v:shape id="_x0000_s2050" o:spid="_x0000_s2050" o:spt="202" type="#_x0000_t202" style="position:absolute;left:0pt;margin-left:12.2pt;margin-top:-7.65pt;height:51.55pt;width:113.2pt;z-index:251659264;mso-width-relative:page;mso-height-relative:page;" filled="f" stroked="f" coordsize="21600,21600">
            <v:path/>
            <v:fill on="f" focussize="0,0"/>
            <v:stroke on="f"/>
            <v:imagedata o:title=""/>
            <o:lock v:ext="edit" aspectratio="f"/>
            <v:textbox>
              <w:txbxContent>
                <w:p>
                  <w:pPr>
                    <w:spacing w:line="400" w:lineRule="exact"/>
                    <w:jc w:val="distribute"/>
                    <w:rPr>
                      <w:rFonts w:hint="eastAsia" w:ascii="黑体" w:hAnsi="黑体" w:eastAsia="黑体" w:cs="宋体"/>
                      <w:kern w:val="2"/>
                      <w:sz w:val="21"/>
                      <w:szCs w:val="21"/>
                    </w:rPr>
                  </w:pPr>
                  <w:r>
                    <w:rPr>
                      <w:rFonts w:hint="eastAsia" w:ascii="黑体" w:hAnsi="黑体" w:eastAsia="黑体" w:cs="宋体"/>
                      <w:kern w:val="2"/>
                      <w:sz w:val="21"/>
                      <w:szCs w:val="21"/>
                    </w:rPr>
                    <w:t>区十九届人大常委会</w:t>
                  </w:r>
                </w:p>
                <w:p>
                  <w:pPr>
                    <w:spacing w:line="400" w:lineRule="exact"/>
                    <w:jc w:val="distribute"/>
                  </w:pPr>
                  <w:r>
                    <w:rPr>
                      <w:rFonts w:hint="eastAsia" w:ascii="黑体" w:hAnsi="黑体" w:eastAsia="黑体" w:cs="宋体"/>
                      <w:kern w:val="2"/>
                      <w:sz w:val="21"/>
                      <w:szCs w:val="21"/>
                    </w:rPr>
                    <w:t>第</w:t>
                  </w:r>
                  <w:r>
                    <w:rPr>
                      <w:rFonts w:hint="eastAsia" w:ascii="黑体" w:hAnsi="黑体" w:eastAsia="黑体" w:cs="宋体"/>
                      <w:kern w:val="2"/>
                      <w:sz w:val="21"/>
                      <w:szCs w:val="21"/>
                      <w:lang w:val="en-US" w:eastAsia="zh-CN"/>
                    </w:rPr>
                    <w:t>七</w:t>
                  </w:r>
                  <w:r>
                    <w:rPr>
                      <w:rFonts w:hint="eastAsia" w:ascii="黑体" w:hAnsi="黑体" w:eastAsia="黑体" w:cs="宋体"/>
                      <w:kern w:val="2"/>
                      <w:sz w:val="21"/>
                      <w:szCs w:val="21"/>
                    </w:rPr>
                    <w:t>次会议文件</w:t>
                  </w:r>
                  <w:r>
                    <w:rPr>
                      <w:rFonts w:hint="eastAsia" w:ascii="黑体" w:hAnsi="黑体" w:eastAsia="黑体" w:cs="宋体"/>
                      <w:kern w:val="10"/>
                      <w:szCs w:val="21"/>
                    </w:rPr>
                    <w:t xml:space="preserve">  </w:t>
                  </w:r>
                </w:p>
              </w:txbxContent>
            </v:textbox>
          </v:shape>
        </w:pict>
      </w:r>
    </w:p>
    <w:p>
      <w:pPr>
        <w:pStyle w:val="13"/>
        <w:spacing w:line="760" w:lineRule="exact"/>
        <w:jc w:val="center"/>
        <w:rPr>
          <w:rFonts w:hint="eastAsia" w:ascii="方正小标宋简体" w:hAnsi="宋体" w:eastAsia="方正小标宋简体"/>
          <w:bCs/>
          <w:sz w:val="44"/>
          <w:szCs w:val="44"/>
        </w:rPr>
      </w:pPr>
    </w:p>
    <w:p>
      <w:pPr>
        <w:pStyle w:val="13"/>
        <w:spacing w:line="7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关于苏家屯区202</w:t>
      </w:r>
      <w:r>
        <w:rPr>
          <w:rFonts w:hint="eastAsia" w:ascii="方正小标宋简体" w:hAnsi="宋体" w:eastAsia="方正小标宋简体"/>
          <w:bCs/>
          <w:sz w:val="44"/>
          <w:szCs w:val="44"/>
          <w:lang w:val="en-US" w:eastAsia="zh-CN"/>
        </w:rPr>
        <w:t>2</w:t>
      </w:r>
      <w:r>
        <w:rPr>
          <w:rFonts w:hint="eastAsia" w:ascii="方正小标宋简体" w:hAnsi="宋体" w:eastAsia="方正小标宋简体"/>
          <w:bCs/>
          <w:sz w:val="44"/>
          <w:szCs w:val="44"/>
        </w:rPr>
        <w:t>年预算执行情况和</w:t>
      </w:r>
    </w:p>
    <w:p>
      <w:pPr>
        <w:pStyle w:val="13"/>
        <w:spacing w:line="760" w:lineRule="exact"/>
        <w:jc w:val="center"/>
        <w:rPr>
          <w:rFonts w:hint="default" w:ascii="方正小标宋简体" w:hAnsi="宋体" w:eastAsia="方正小标宋简体"/>
          <w:bCs/>
          <w:sz w:val="44"/>
          <w:szCs w:val="44"/>
          <w:lang w:val="en-US" w:eastAsia="zh-CN"/>
        </w:rPr>
      </w:pPr>
      <w:r>
        <w:rPr>
          <w:rFonts w:hint="eastAsia" w:ascii="方正小标宋简体" w:hAnsi="宋体" w:eastAsia="方正小标宋简体"/>
          <w:bCs/>
          <w:sz w:val="44"/>
          <w:szCs w:val="44"/>
        </w:rPr>
        <w:t>202</w:t>
      </w:r>
      <w:r>
        <w:rPr>
          <w:rFonts w:hint="eastAsia" w:ascii="方正小标宋简体" w:hAnsi="宋体" w:eastAsia="方正小标宋简体"/>
          <w:bCs/>
          <w:sz w:val="44"/>
          <w:szCs w:val="44"/>
          <w:lang w:val="en-US" w:eastAsia="zh-CN"/>
        </w:rPr>
        <w:t>3</w:t>
      </w:r>
      <w:r>
        <w:rPr>
          <w:rFonts w:hint="eastAsia" w:ascii="方正小标宋简体" w:hAnsi="宋体" w:eastAsia="方正小标宋简体"/>
          <w:bCs/>
          <w:sz w:val="44"/>
          <w:szCs w:val="44"/>
        </w:rPr>
        <w:t>年预算草案</w:t>
      </w:r>
      <w:r>
        <w:rPr>
          <w:rFonts w:hint="eastAsia" w:ascii="方正小标宋简体" w:hAnsi="宋体" w:eastAsia="方正小标宋简体"/>
          <w:bCs/>
          <w:sz w:val="44"/>
          <w:szCs w:val="44"/>
          <w:lang w:val="en-US" w:eastAsia="zh-CN"/>
        </w:rPr>
        <w:t>初步方案</w:t>
      </w:r>
      <w:r>
        <w:rPr>
          <w:rFonts w:hint="eastAsia" w:ascii="方正小标宋简体" w:hAnsi="宋体" w:eastAsia="方正小标宋简体"/>
          <w:bCs/>
          <w:sz w:val="44"/>
          <w:szCs w:val="44"/>
        </w:rPr>
        <w:t>的报</w:t>
      </w:r>
      <w:r>
        <w:rPr>
          <w:rFonts w:hint="eastAsia" w:ascii="方正小标宋简体" w:hAnsi="宋体" w:eastAsia="方正小标宋简体"/>
          <w:bCs/>
          <w:sz w:val="44"/>
          <w:szCs w:val="44"/>
          <w:lang w:val="en-US" w:eastAsia="zh-CN"/>
        </w:rPr>
        <w:t>告(书面)</w:t>
      </w:r>
    </w:p>
    <w:p>
      <w:pPr>
        <w:jc w:val="center"/>
        <w:rPr>
          <w:rFonts w:ascii="楷体_GB2312" w:eastAsia="楷体_GB2312"/>
          <w:sz w:val="30"/>
          <w:szCs w:val="30"/>
        </w:rPr>
      </w:pPr>
    </w:p>
    <w:p>
      <w:pPr>
        <w:jc w:val="center"/>
        <w:rPr>
          <w:rFonts w:ascii="楷体_GB2312" w:eastAsia="楷体_GB2312"/>
          <w:spacing w:val="0"/>
          <w:sz w:val="32"/>
          <w:szCs w:val="32"/>
        </w:rPr>
      </w:pPr>
      <w:r>
        <w:rPr>
          <w:rFonts w:hint="eastAsia" w:ascii="楷体_GB2312" w:eastAsia="楷体_GB2312"/>
          <w:spacing w:val="0"/>
          <w:sz w:val="32"/>
          <w:szCs w:val="32"/>
        </w:rPr>
        <w:t>─202</w:t>
      </w:r>
      <w:r>
        <w:rPr>
          <w:rFonts w:hint="eastAsia" w:ascii="楷体_GB2312" w:eastAsia="楷体_GB2312"/>
          <w:spacing w:val="0"/>
          <w:sz w:val="32"/>
          <w:szCs w:val="32"/>
          <w:lang w:val="en-US" w:eastAsia="zh-CN"/>
        </w:rPr>
        <w:t>2</w:t>
      </w:r>
      <w:r>
        <w:rPr>
          <w:rFonts w:hint="eastAsia" w:ascii="楷体_GB2312" w:eastAsia="楷体_GB2312"/>
          <w:spacing w:val="0"/>
          <w:sz w:val="32"/>
          <w:szCs w:val="32"/>
        </w:rPr>
        <w:t>年1</w:t>
      </w:r>
      <w:r>
        <w:rPr>
          <w:rFonts w:hint="eastAsia" w:ascii="楷体_GB2312" w:eastAsia="楷体_GB2312"/>
          <w:spacing w:val="0"/>
          <w:sz w:val="32"/>
          <w:szCs w:val="32"/>
          <w:lang w:val="en-US" w:eastAsia="zh-CN"/>
        </w:rPr>
        <w:t>2</w:t>
      </w:r>
      <w:r>
        <w:rPr>
          <w:rFonts w:hint="eastAsia" w:ascii="楷体_GB2312" w:eastAsia="楷体_GB2312"/>
          <w:spacing w:val="0"/>
          <w:sz w:val="32"/>
          <w:szCs w:val="32"/>
        </w:rPr>
        <w:t>月</w:t>
      </w:r>
      <w:r>
        <w:rPr>
          <w:rFonts w:hint="eastAsia" w:ascii="楷体_GB2312" w:eastAsia="楷体_GB2312"/>
          <w:spacing w:val="0"/>
          <w:sz w:val="32"/>
          <w:szCs w:val="32"/>
          <w:lang w:val="en-US" w:eastAsia="zh-CN"/>
        </w:rPr>
        <w:t>8</w:t>
      </w:r>
      <w:r>
        <w:rPr>
          <w:rFonts w:hint="eastAsia" w:ascii="楷体_GB2312" w:eastAsia="楷体_GB2312"/>
          <w:spacing w:val="0"/>
          <w:sz w:val="32"/>
          <w:szCs w:val="32"/>
        </w:rPr>
        <w:t>日在区十</w:t>
      </w:r>
      <w:r>
        <w:rPr>
          <w:rFonts w:hint="eastAsia" w:ascii="楷体_GB2312" w:eastAsia="楷体_GB2312"/>
          <w:spacing w:val="0"/>
          <w:sz w:val="32"/>
          <w:szCs w:val="32"/>
          <w:lang w:val="en-US" w:eastAsia="zh-CN"/>
        </w:rPr>
        <w:t>九</w:t>
      </w:r>
      <w:r>
        <w:rPr>
          <w:rFonts w:hint="eastAsia" w:ascii="楷体_GB2312" w:eastAsia="楷体_GB2312"/>
          <w:spacing w:val="0"/>
          <w:sz w:val="32"/>
          <w:szCs w:val="32"/>
        </w:rPr>
        <w:t>届人大常委会第</w:t>
      </w:r>
      <w:r>
        <w:rPr>
          <w:rFonts w:hint="eastAsia" w:ascii="楷体_GB2312" w:eastAsia="楷体_GB2312"/>
          <w:spacing w:val="0"/>
          <w:sz w:val="32"/>
          <w:szCs w:val="32"/>
          <w:lang w:val="en-US" w:eastAsia="zh-CN"/>
        </w:rPr>
        <w:t>七</w:t>
      </w:r>
      <w:r>
        <w:rPr>
          <w:rFonts w:hint="eastAsia" w:ascii="楷体_GB2312" w:eastAsia="楷体_GB2312"/>
          <w:spacing w:val="0"/>
          <w:sz w:val="32"/>
          <w:szCs w:val="32"/>
        </w:rPr>
        <w:t>次会议上</w:t>
      </w:r>
    </w:p>
    <w:p>
      <w:pPr>
        <w:jc w:val="center"/>
        <w:rPr>
          <w:rFonts w:ascii="楷体_GB2312" w:eastAsia="楷体_GB2312"/>
          <w:spacing w:val="0"/>
          <w:sz w:val="32"/>
          <w:szCs w:val="32"/>
        </w:rPr>
      </w:pPr>
      <w:r>
        <w:rPr>
          <w:rFonts w:hint="eastAsia" w:ascii="楷体_GB2312" w:eastAsia="楷体_GB2312"/>
          <w:spacing w:val="0"/>
          <w:sz w:val="32"/>
          <w:szCs w:val="32"/>
        </w:rPr>
        <w:t>区财政局局长  程</w:t>
      </w:r>
      <w:r>
        <w:rPr>
          <w:rFonts w:hint="eastAsia" w:ascii="楷体_GB2312" w:eastAsia="楷体_GB2312"/>
          <w:spacing w:val="0"/>
          <w:sz w:val="32"/>
          <w:szCs w:val="32"/>
          <w:lang w:val="en-US" w:eastAsia="zh-CN"/>
        </w:rPr>
        <w:t xml:space="preserve"> </w:t>
      </w:r>
      <w:r>
        <w:rPr>
          <w:rFonts w:hint="eastAsia" w:ascii="楷体_GB2312" w:eastAsia="楷体_GB2312"/>
          <w:spacing w:val="0"/>
          <w:sz w:val="32"/>
          <w:szCs w:val="32"/>
        </w:rPr>
        <w:t>科</w:t>
      </w:r>
    </w:p>
    <w:p>
      <w:pPr>
        <w:rPr>
          <w:rFonts w:ascii="仿宋_GB2312" w:eastAsia="仿宋_GB2312"/>
          <w:sz w:val="32"/>
          <w:szCs w:val="32"/>
        </w:rPr>
      </w:pPr>
    </w:p>
    <w:p>
      <w:pPr>
        <w:pStyle w:val="13"/>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主任、各位副主任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各位委员</w:t>
      </w:r>
      <w:r>
        <w:rPr>
          <w:rFonts w:hint="eastAsia" w:ascii="仿宋_GB2312" w:hAnsi="仿宋_GB2312" w:eastAsia="仿宋_GB2312" w:cs="仿宋_GB2312"/>
          <w:sz w:val="32"/>
          <w:szCs w:val="32"/>
        </w:rPr>
        <w:t>：</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我受区政府的委托，向区人大常委会作《关于苏家屯区202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年预算执行情况和202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年预算草案</w:t>
      </w:r>
      <w:r>
        <w:rPr>
          <w:rFonts w:hint="eastAsia" w:ascii="仿宋_GB2312" w:hAnsi="仿宋_GB2312" w:eastAsia="仿宋_GB2312" w:cs="仿宋_GB2312"/>
          <w:sz w:val="32"/>
          <w:szCs w:val="32"/>
          <w:lang w:val="en-US" w:eastAsia="zh-CN"/>
        </w:rPr>
        <w:t>初步方案</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rPr>
        <w:t>》，请予审议。</w:t>
      </w:r>
    </w:p>
    <w:p>
      <w:pPr>
        <w:pStyle w:val="13"/>
        <w:spacing w:line="600" w:lineRule="exact"/>
        <w:ind w:firstLine="640"/>
        <w:rPr>
          <w:rFonts w:hint="eastAsia" w:ascii="黑体" w:hAnsi="黑体" w:eastAsia="黑体" w:cs="黑体"/>
          <w:sz w:val="32"/>
          <w:szCs w:val="32"/>
        </w:rPr>
      </w:pPr>
      <w:r>
        <w:rPr>
          <w:rFonts w:hint="eastAsia" w:ascii="黑体" w:hAnsi="黑体" w:eastAsia="黑体" w:cs="黑体"/>
          <w:sz w:val="32"/>
          <w:szCs w:val="32"/>
        </w:rPr>
        <w:t>一、2022年财政预算执行情况</w:t>
      </w:r>
    </w:p>
    <w:p>
      <w:pPr>
        <w:pStyle w:val="13"/>
        <w:spacing w:line="60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（一）一般公共预算执行情况</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1.收入。</w:t>
      </w:r>
      <w:r>
        <w:rPr>
          <w:rFonts w:hint="eastAsia" w:ascii="仿宋_GB2312" w:hAnsi="仿宋_GB2312" w:eastAsia="仿宋_GB2312" w:cs="仿宋_GB2312"/>
          <w:sz w:val="32"/>
          <w:szCs w:val="32"/>
        </w:rPr>
        <w:t>经区十九届人大常委会第六次会议审议批准，我区2022年一般公共预算收入调整为24.77亿元。年终预计完成24.77亿元，完成预算的100%，同比减少2.53亿元，下降9.3%，扣除留抵退税因素后下降4.9%,  其中，税收收入实现19.23亿元，完成预算的101.6%，同比减少5.75亿元，下降23%，扣除留抵退税因素后下降18%；非税收入完成5.54亿元，完成预算的94.9%，同比增加3.22亿元，增长139.1%。税收占一般公共预算收入的比重为77.7%，同比下降13.9个百分点。</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2.支出。</w:t>
      </w:r>
      <w:r>
        <w:rPr>
          <w:rFonts w:hint="eastAsia" w:ascii="仿宋_GB2312" w:hAnsi="仿宋_GB2312" w:eastAsia="仿宋_GB2312" w:cs="仿宋_GB2312"/>
          <w:sz w:val="32"/>
          <w:szCs w:val="32"/>
        </w:rPr>
        <w:t>经区十九届人大常委会第六次会议审议批准，我区2022年一般公共预算支出调整为27.66亿元。考虑年终往来款清理结算因素，全年调整一般公共预算支出为33.92亿元，年终预计完成31.42亿元，为全年调整一般公共预算支出的92.6%，同比增支3.33亿元，增长11.85%。</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支出主要用于以下方面：一般公共服务支出（党政群团经费） 3.8亿元；公共安全支出（公检法司经费）0.65亿元；教育支出5.65亿元；社会保障和就业支出8.3亿元；卫生健康支出3.2亿元；城乡社区支出3.38亿元；农林水支出3.3亿元等。</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3.平衡情况。</w:t>
      </w:r>
      <w:r>
        <w:rPr>
          <w:rFonts w:hint="eastAsia" w:ascii="仿宋_GB2312" w:hAnsi="仿宋_GB2312" w:eastAsia="仿宋_GB2312" w:cs="仿宋_GB2312"/>
          <w:sz w:val="32"/>
          <w:szCs w:val="32"/>
        </w:rPr>
        <w:t>根据现行财政管理体制测算，一般公共预算收入24.77亿元，加上上级补助等收入14.67亿元、债券转贷收入2.44亿元、上年结余收入2.17亿元、调入预算稳定调节基金0.2亿元、调入资金2.26亿元，减去上解上级等支出9.95亿元、债务还本支出2.44亿元、安排预算稳定调节基金0.2亿元，当年一般公共预算财力为33.92亿元，减去一般公共预算支出31.42亿元，预算执行结果当年结余结转2.5亿元，全部为上级专项资金。</w:t>
      </w:r>
    </w:p>
    <w:p>
      <w:pPr>
        <w:pStyle w:val="13"/>
        <w:spacing w:line="60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（二）政府性基金预算执行情况</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1.收入。</w:t>
      </w:r>
      <w:r>
        <w:rPr>
          <w:rFonts w:hint="eastAsia" w:ascii="仿宋_GB2312" w:hAnsi="仿宋_GB2312" w:eastAsia="仿宋_GB2312" w:cs="仿宋_GB2312"/>
          <w:sz w:val="32"/>
          <w:szCs w:val="32"/>
        </w:rPr>
        <w:t>经区十九届人大常委会第六次会议审议批准，我区2022年基金预算收入为1.35亿元。年终收入预计实现1.35亿元，为预算的100%，同比减少15.5亿元，下降92%。其中，国有土地使用权出让收入0.97亿元，同比减少14.16亿元，下降93.6%。</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2.支出。</w:t>
      </w:r>
      <w:r>
        <w:rPr>
          <w:rFonts w:hint="eastAsia" w:ascii="仿宋_GB2312" w:hAnsi="仿宋_GB2312" w:eastAsia="仿宋_GB2312" w:cs="仿宋_GB2312"/>
          <w:sz w:val="32"/>
          <w:szCs w:val="32"/>
        </w:rPr>
        <w:t>经区十九届人大常委会第六次会议审议批准，我区2022年基金预算支出为4.9亿元。考虑上级专项因素，全年调整基金预算支出为7.5亿元，年终预计完成7.5亿元，为全年调整基金预算支出的100%，同比减支10.25亿元，下降57.75%。</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3.平衡情况。</w:t>
      </w:r>
      <w:r>
        <w:rPr>
          <w:rFonts w:hint="eastAsia" w:ascii="仿宋_GB2312" w:hAnsi="仿宋_GB2312" w:eastAsia="仿宋_GB2312" w:cs="仿宋_GB2312"/>
          <w:sz w:val="32"/>
          <w:szCs w:val="32"/>
        </w:rPr>
        <w:t>基金是以收定支的。基金预算收入1.35亿元，加上上级补助收入5.15亿元、上年结余收入0.4亿元、债务转贷收入3.49亿元、调入资金0.6亿元，减去债务还本支出3.49亿元，基金财力实现7.5亿元，安排基金支出7.5亿元，预算执行结果当年实现收支平衡。</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收支和基金收支大幅下降的主要原因是税收收入受国家增值税留抵退税政策影响，全年预计退税1.7亿元，加之新冠疫情给经济带来的严重冲击，第二、三产业收入大幅下滑，其中，房地产行业在全市业态持续低迷的大环境下全年预计减收3亿元，附带基金收入断崖式减少，因此一般公共预算和基金预算收支对应减少。</w:t>
      </w:r>
    </w:p>
    <w:p>
      <w:pPr>
        <w:pStyle w:val="13"/>
        <w:spacing w:line="60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（三）社保基金预算执行情况</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保基金预算由省市统筹管理，收入全部入省级国库，支出由省、市、区三级统筹，我区支出数按照上级下达指标数予以配套，资金来源全部为一般公共预算收入财力安排。2022年预算支出总计4.56亿元，其中：财政对企业职工基本养老保险补助0.54亿元；财政对机关事业单位养老保险补助3.19亿元；财政对城乡居民养老保险补助0.32亿元；财政对被征地农民养老保险补助0.2亿元；财政对城镇居民基本医疗保险补助0.31亿元。</w:t>
      </w:r>
    </w:p>
    <w:p>
      <w:pPr>
        <w:pStyle w:val="13"/>
        <w:spacing w:line="600" w:lineRule="exact"/>
        <w:ind w:firstLine="64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（四）国有资本经营预算执行情况</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区本级2022年国有资本经营预算收入0万元，没有实现企业利润收入。</w:t>
      </w:r>
    </w:p>
    <w:p>
      <w:pPr>
        <w:pStyle w:val="13"/>
        <w:spacing w:line="600" w:lineRule="exact"/>
        <w:ind w:firstLine="64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（五）2022年全区政府债务限额</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经市政府批准，核定苏家屯区2022年地方政府限额68.56亿元（其中：一般债务20.47亿元、专项债务48.09亿元），我区债务余额均未突破市政府核定的债务限额。</w:t>
      </w:r>
    </w:p>
    <w:p>
      <w:pPr>
        <w:pStyle w:val="13"/>
        <w:spacing w:line="6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(2022年预算执行情况的各项指标列入本汇报附件，请审阅)</w:t>
      </w:r>
    </w:p>
    <w:p>
      <w:pPr>
        <w:pStyle w:val="13"/>
        <w:spacing w:line="60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（六）2022年主要财政工作</w:t>
      </w:r>
      <w:r>
        <w:rPr>
          <w:rFonts w:hint="eastAsia" w:ascii="仿宋_GB2312" w:hAnsi="仿宋_GB2312" w:eastAsia="仿宋_GB2312" w:cs="仿宋_GB2312"/>
          <w:sz w:val="32"/>
          <w:szCs w:val="32"/>
        </w:rPr>
        <w:t xml:space="preserve"> </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1.立足经济收紧局势，开创超常增收模式。</w:t>
      </w:r>
      <w:r>
        <w:rPr>
          <w:rFonts w:hint="eastAsia" w:ascii="仿宋_GB2312" w:hAnsi="仿宋_GB2312" w:eastAsia="仿宋_GB2312" w:cs="仿宋_GB2312"/>
          <w:sz w:val="32"/>
          <w:szCs w:val="32"/>
        </w:rPr>
        <w:t>预判全年收入形式，及时调整征收策略，保持全年收入平稳有序。一是稳定涵养税源，深入挖潜压欠。密切配合税务部门征管和服务工作，强化重点企业“点对点”帮扶，确保常规税收按时入库。积极落实新组合式税费支持政策，关注企业回补收入，缓解企业资金链吃紧问题，助力企业轻装前行，更快更好恢复生产经营活力。就解遗项目及房土核查工作集群智、汇群力，全年预计挖潜清欠税收收入1.8亿元。二是拓宽非税费源，培植收入生力军。全年预计盘活资产实现处置收入2.3亿元，产权调换价差收入0.94亿元，争取上级案件罚没收入0.44亿元，实现非税收入逆势增长。三是深入清理存量资金，弥补短收财力缺口。全年预计清理收回存量资金4.35亿元，强化财政统筹能力，提高资金使用效益。四是横向联动纵向争取，扩大上级补助资金规模。全年预计争取上级资金19.82亿元，占全年总财力的47.9%，充分保障了我区民生需求及重点领域发展建设。</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2.围绕三保支出保障，持续增进民生福祉。</w:t>
      </w:r>
      <w:r>
        <w:rPr>
          <w:rFonts w:hint="eastAsia" w:ascii="仿宋_GB2312" w:hAnsi="仿宋_GB2312" w:eastAsia="仿宋_GB2312" w:cs="仿宋_GB2312"/>
          <w:sz w:val="32"/>
          <w:szCs w:val="32"/>
        </w:rPr>
        <w:t>“紧平衡”下当好“铁公鸡”，打好“铁算盘”，聚焦解决难点、堵点问题，定向调整支出结构，兜牢兜实三保底线。一是分清主次，有保有压。牢固树立过紧日子思想，大力压减一般性支出，把宝贵的财政资金用在发展紧要处、民生急需上。二是精准发力，保障有序。定期监控“三保”执行情况，提升支出精度、准度和温度，确保惠企利民资金快速下达、快速使用、立见成效。全年发放“一卡通”补贴资金2.49亿元，受益人数46.63万人次。三是科学谋划，平衡发展。合理规划社科文农教卫等领域的投资力度。全年投入农林水资金3.3亿元，社保、医疗类资金8.3亿元，公共卫生资金3.2亿元（其中疫情防控资金1亿元），教育资金5.65亿元，基本实现了应保必保、稳中求进的总体目标。</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3.融入绩效管理体系，开拓预算管理视野。</w:t>
      </w:r>
      <w:r>
        <w:rPr>
          <w:rFonts w:hint="eastAsia" w:ascii="仿宋_GB2312" w:hAnsi="仿宋_GB2312" w:eastAsia="仿宋_GB2312" w:cs="仿宋_GB2312"/>
          <w:sz w:val="32"/>
          <w:szCs w:val="32"/>
        </w:rPr>
        <w:t>不断提高预算的完整性、科学性和透明性，建立契合经济社会发展的信息化预算管理体系。一是做实做活预算管理一体化平台。充分发挥平台综合性，扩充平台业务覆盖范围，全年新增财务核算、财务报告模块，并将财政专户纳入平台管理。二是健全预算绩效管理机制。2022年我区预算管理水平快速提升，管理措施和手段进一步完善，实现了事前、事中、事后全过程绩效监管，总体绩效评价和重点项目绩效评价点面结合。三是构建预算科学化管理体系。综合应用一体化平台基础库数据、预算执行进度、绩效评价监控结果等信息化指标，压缩项目经费4.8亿元，压减一般性支出0.5亿元。</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4.坚持问题导向思维，建立财政监管机制。</w:t>
      </w:r>
      <w:r>
        <w:rPr>
          <w:rFonts w:hint="eastAsia" w:ascii="仿宋_GB2312" w:hAnsi="仿宋_GB2312" w:eastAsia="仿宋_GB2312" w:cs="仿宋_GB2312"/>
          <w:sz w:val="32"/>
          <w:szCs w:val="32"/>
        </w:rPr>
        <w:t>筑牢底线思维、风险意识，确保财政安全、可持续运行。一是开展财经秩序专项整治行动。聚焦贯彻落实减税降费政策、政府过紧日子、加强基层“三保”保障、规范国库管理等七个领域自查整改，全面严肃财经纪律，维护财经秩序。二是规范财政行政执法工作事项。制定《沈阳市苏家屯区财政局行政执法专项考核工作实施方案》，对照权责清单逐条梳理，明确职责分工到人到事。三是发挥各类监管平台职能作用。实现票据电子化暨非税收入收缴、政府采购、内部控制编制报告等系统的覆盖率100%，确保财政管理流程线上运行，提高监管效能。</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5.紧扣安全风险管理，优化政府债务结构。</w:t>
      </w:r>
      <w:r>
        <w:rPr>
          <w:rFonts w:hint="eastAsia" w:ascii="仿宋_GB2312" w:hAnsi="仿宋_GB2312" w:eastAsia="仿宋_GB2312" w:cs="仿宋_GB2312"/>
          <w:sz w:val="32"/>
          <w:szCs w:val="32"/>
        </w:rPr>
        <w:t>直面收支矛盾，化解债务风险。一是隐性债务规模持续下降。坚决遏制新增隐性债务，实现全年无新。二是统筹资金保债务。通过加强预算管理，保障债务本息及时、足额偿还。三是优化债务属性。通过置换、展期等方式降低债务利率、延长债务年限，缓解债务压力。四是优化债务结构。在消化隐形债的同时争取专项债发行，谋划好项目，做足储备库，最大利用债务杠杆作用发挥财政资金撬动作用，为我区重点项目建设注入强劲动力。</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区委、区政府的正确领导和周密部署下，在区人大全面监督和科学指导下，2022年全区财政运行状况稳步有序，在经济困局中突围，保障了区经济社会发展需要。下一步，我们将时刻警醒，充分发挥财政职能作用，立足当前，着眼长远，打好攻坚战、持久战。</w:t>
      </w:r>
    </w:p>
    <w:p>
      <w:pPr>
        <w:pStyle w:val="13"/>
        <w:spacing w:line="600" w:lineRule="exact"/>
        <w:ind w:firstLine="640"/>
        <w:rPr>
          <w:rFonts w:hint="eastAsia" w:ascii="黑体" w:hAnsi="黑体" w:eastAsia="黑体" w:cs="黑体"/>
          <w:sz w:val="32"/>
          <w:szCs w:val="32"/>
        </w:rPr>
      </w:pPr>
      <w:r>
        <w:rPr>
          <w:rFonts w:hint="eastAsia" w:ascii="黑体" w:hAnsi="黑体" w:eastAsia="黑体" w:cs="黑体"/>
          <w:sz w:val="32"/>
          <w:szCs w:val="32"/>
        </w:rPr>
        <w:t>二、2023年预算草案初步方案</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2023年，我区经济形式仍呈紧张局面，因此我们不仅要算大账算总账，还要算小账算细账，按照“稳”字当先的原则，安排 2023年预算。我区2023年预算编制指导思想是：以习近平新时代中国特色社会主义思想为指导，全面贯彻党的二十大精神，认真落实国家决策部署及省、市、区工作要求，坚持稳中求进工作总基调，完整准确全面贯彻新发展理念，服务和融入新发展格局，以高质量发展为主题，推动积极财政政策提升效能，更加注重精准、可持续。加强政府性资源统筹，大力优化支出结构，为我区实现加速崛起提供有力经济保障。</w:t>
      </w:r>
    </w:p>
    <w:p>
      <w:pPr>
        <w:pStyle w:val="13"/>
        <w:spacing w:line="60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（一）一般公共预算收支安排</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1.收入。</w:t>
      </w:r>
      <w:r>
        <w:rPr>
          <w:rFonts w:hint="eastAsia" w:ascii="仿宋_GB2312" w:hAnsi="仿宋_GB2312" w:eastAsia="仿宋_GB2312" w:cs="仿宋_GB2312"/>
          <w:sz w:val="32"/>
          <w:szCs w:val="32"/>
        </w:rPr>
        <w:t>2023年一般公共预算收入拟安排27.25亿元，比今年(预计完成额，下同)增加2.48亿元，增长10%。其中：税收收入22.11亿元，同比增加2.88亿元，增长15%；非税收入5.14亿元，同比下降0.4亿元，受一次性因素影响下降7.2%。税收占一般公共预算收入的比重为81.2%，同比增长3.5个百分点。</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2.支出。</w:t>
      </w:r>
      <w:r>
        <w:rPr>
          <w:rFonts w:hint="eastAsia" w:ascii="仿宋_GB2312" w:hAnsi="仿宋_GB2312" w:eastAsia="仿宋_GB2312" w:cs="仿宋_GB2312"/>
          <w:sz w:val="32"/>
          <w:szCs w:val="32"/>
        </w:rPr>
        <w:t>一般公共预算收入27.25亿元，加上已确定的上级财政补助等收入7.5亿元、从基金收入中调入资金10.48亿元、上年结余收入2.5亿元、债务转贷收入2.01亿元，预算稳定调节基金调入资金0.2亿元，同时扣除上解上级财政等支出10.36亿元、债务还本支出2.01亿元，当年可供安排的财力总额为37.57亿元，按照收支平衡的预算编制原则，支出预算拟安排34.87亿元，比今年(预计完成额，下同)增支3.45亿元，增长11%，拟安排预算稳定调节基金0.2亿元、结转下年资金2.5亿。</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出主要用于以下方面：一般公共服务支出（党政群团经费）4.09亿元；公共安全支出（公检法司经费）0.66亿元；教育支出6.64亿元；社会保障和就业支出10.26亿元；卫生健康支出3.14亿元；城乡社区支出2.1亿元；农林水事务支出2.13亿元等。（支出增减变动的主要原因详见附表五）</w:t>
      </w:r>
    </w:p>
    <w:p>
      <w:pPr>
        <w:pStyle w:val="13"/>
        <w:spacing w:line="60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（二）基金预算收支安排</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1.收入。</w:t>
      </w:r>
      <w:r>
        <w:rPr>
          <w:rFonts w:hint="eastAsia" w:ascii="仿宋_GB2312" w:hAnsi="仿宋_GB2312" w:eastAsia="仿宋_GB2312" w:cs="仿宋_GB2312"/>
          <w:sz w:val="32"/>
          <w:szCs w:val="32"/>
        </w:rPr>
        <w:t>2023年基金预算收入拟安排32.4亿元，比今年(预计完成额，下同)增加31.05亿元。其中国有土地使用权出让收入拟安排30.32亿元，比今年增加29.35亿元。</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2.支出。</w:t>
      </w:r>
      <w:r>
        <w:rPr>
          <w:rFonts w:hint="eastAsia" w:ascii="仿宋_GB2312" w:hAnsi="仿宋_GB2312" w:eastAsia="仿宋_GB2312" w:cs="仿宋_GB2312"/>
          <w:sz w:val="32"/>
          <w:szCs w:val="32"/>
        </w:rPr>
        <w:t>基金预算收入32.4亿元，加上债务转贷收入9.49亿元，减去调入到一般公共预算的资金10.48亿元、债务还本支出9.49亿元，当年可供安排的财力总额为21.92亿元。基金支出拟安排21.92亿元，其中:政府投资项目专项资金3亿元、征拆补偿资金2亿元、华夏建设资金1亿元、异地购买土地指标资金2亿元、债务还本付息资金8.68亿元等。</w:t>
      </w:r>
    </w:p>
    <w:p>
      <w:pPr>
        <w:pStyle w:val="13"/>
        <w:spacing w:line="60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（三）社保基金预算收支安排</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保基金预算由省市统筹管理，收入全部入省级国库，支出由省、市、区三级统筹，我区支出数按照上级下达指标数予以配套，资金来源全部为区本级财力安排。2023年预算支出总计5.94亿元，其中：财政对企业养老保险补助0.45亿元；财政对机关事业养老保险补助3.51亿元；财政对城乡居民养老保险补助1.55亿元；财政对被征地农民养老保险补助0.1亿元；财政对城镇居民基本医疗保险补助0.33亿元。</w:t>
      </w:r>
    </w:p>
    <w:p>
      <w:pPr>
        <w:pStyle w:val="13"/>
        <w:spacing w:line="60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（四）国有资本经营预算安排</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区本级2023年国有资本经营预算收入200万元，具体收入项目为其他企业利润收入200万元。其他国有资本经营预算支出200万元，用于国有资产经营公司年度管理费用支出。</w:t>
      </w:r>
    </w:p>
    <w:p>
      <w:pPr>
        <w:pStyle w:val="13"/>
        <w:spacing w:line="6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(2023年预算安排的各项指标列入本汇报附件，请审阅)</w:t>
      </w:r>
    </w:p>
    <w:p>
      <w:pPr>
        <w:pStyle w:val="13"/>
        <w:spacing w:line="60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（五）奋力完成 2023年预算任务</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1.推改革要发展，着力管理提能力。</w:t>
      </w:r>
      <w:r>
        <w:rPr>
          <w:rFonts w:hint="eastAsia" w:ascii="仿宋_GB2312" w:hAnsi="仿宋_GB2312" w:eastAsia="仿宋_GB2312" w:cs="仿宋_GB2312"/>
          <w:sz w:val="32"/>
          <w:szCs w:val="32"/>
        </w:rPr>
        <w:t>持续深化预算管理改革，以改革促发展，全力提升财政管理能力。一是深化预算绩效管理。在现有基础上加强对延续性项目评估及事中监控，前置监控结果应用，在执行中规避问题及风险，强化各部门绩效管理主体责任，明确评估结果与资金安排挂钩的约束机制。二是建立健全预算标准体系。以标准控成本，从预算编制源头规范支出，提高财政资金使用效益。三是完善预算管理一体化系统建设。以预算编制和执行为核心，将收入管理、单位资金管理、报表管理、采购管理、资产管理等业务逐步纳入系统，实现模块间有机对接，深度融合。</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2.优税源精服务，着力提质增收入。</w:t>
      </w:r>
      <w:r>
        <w:rPr>
          <w:rFonts w:hint="eastAsia" w:ascii="仿宋_GB2312" w:hAnsi="仿宋_GB2312" w:eastAsia="仿宋_GB2312" w:cs="仿宋_GB2312"/>
          <w:sz w:val="32"/>
          <w:szCs w:val="32"/>
        </w:rPr>
        <w:t>稳税源，求增长，加大政策赋能，推进我区经济恢复活力。一是优化营商环境。定期深入重点税源企业和招商引资项目，主动解决其发展诉求，留住优质企业，保障持续税源。二是巩固减税降费成效。积极落实政策，释放红利，切实减轻企业负担，激发市场主体活力。三是拓宽收入渠道。积极推动农村饮用水特许经营权转让、整合闲置资产、推动车船税回流、加快土地出让等工作，创造更多收入实现点。</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3.抓统筹重效率，着力约束重保障。</w:t>
      </w:r>
      <w:r>
        <w:rPr>
          <w:rFonts w:hint="eastAsia" w:ascii="仿宋_GB2312" w:hAnsi="仿宋_GB2312" w:eastAsia="仿宋_GB2312" w:cs="仿宋_GB2312"/>
          <w:sz w:val="32"/>
          <w:szCs w:val="32"/>
        </w:rPr>
        <w:t>实施财政收支总额控制，统筹使用各级资金，加强政府收支预算约束，提高财政资金保障能力。一是强化争取上级资金。积极研究上级政策与我区经济社会发展的结合点，紧紧围绕食品产业园专项债等重点产业、重点项目，主动联系、对接平级职能部门，全力争取、用足、用好上级财政政策和资金。二是强化财政资金引导。把全区项目与国家、省、市投资方向有机结合，对口谋划项目、包装项目，积极争取国家及省、市级各类发展专项资金和引导基金支持，以投资引资本，发挥财政资金撬动作用。三是强化资金使用效率。坚持保基本民生、保工资、 保运转在财政支出安排中的优先顺序，实时动态监控“三保”可用财力与支出需求情况，发挥财政资金精准补短板和提升民生福祉的作用。</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4.守底线强执法，着力监管抗风险。</w:t>
      </w:r>
      <w:r>
        <w:rPr>
          <w:rFonts w:hint="eastAsia" w:ascii="仿宋_GB2312" w:hAnsi="仿宋_GB2312" w:eastAsia="仿宋_GB2312" w:cs="仿宋_GB2312"/>
          <w:sz w:val="32"/>
          <w:szCs w:val="32"/>
        </w:rPr>
        <w:t>监督有力，管理有方，有效防范财政风险，坚守风险底线。一是加强财政内部监管机制。确保财政直达资金及一卡通监管机制落实到位，保障资金运行安全有效。二是加强财政外部监管机制。主动接受人大、政协与社会的监督，密切协同纪委监委、巡察、审计部门开展执法建设工作，确保资金运行合法合规。三是坚决防范债务风险。积极与银行对接置换到期债务，适度消化隐形债务，确保当年偿债需求与财力状况相适应。做好新增专项债券申报及相关管理工作，确保债务规模与我区经济发展水平相匹配。</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2023年是贯彻</w:t>
      </w:r>
      <w:bookmarkStart w:id="0" w:name="_GoBack"/>
      <w:bookmarkEnd w:id="0"/>
      <w:r>
        <w:rPr>
          <w:rFonts w:hint="eastAsia" w:ascii="仿宋_GB2312" w:hAnsi="仿宋_GB2312" w:eastAsia="仿宋_GB2312" w:cs="仿宋_GB2312"/>
          <w:sz w:val="32"/>
          <w:szCs w:val="32"/>
        </w:rPr>
        <w:t>党的二十大精神的开局之年，也是“十四五”攻坚之年，背后是经济形式及疫情纷繁多变的局势，前方是经济体制改革大潮的机遇与挑战，我们将紧紧围绕区委、区政府决策部署，正视困难，坚定信心，精准调控，不透支未来，亦不负发展所望，全力以赴完成2023年财政工作各项目标任务，为实现苏家屯区加速崛起贡献力量！</w:t>
      </w:r>
    </w:p>
    <w:p>
      <w:pPr>
        <w:pStyle w:val="13"/>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footerReference r:id="rId3" w:type="default"/>
      <w:footerReference r:id="rId4" w:type="even"/>
      <w:pgSz w:w="12240" w:h="15840"/>
      <w:pgMar w:top="1701" w:right="1304" w:bottom="1417" w:left="1304"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- 5 -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720"/>
  <w:displayHorizontalDrawingGridEvery w:val="0"/>
  <w:displayVerticalDrawingGridEvery w:val="2"/>
  <w:characterSpacingControl w:val="doNotCompress"/>
  <w:hdrShapeDefaults>
    <o:shapelayout v:ext="edit">
      <o:idmap v:ext="edit" data="3,4"/>
    </o:shapelayout>
  </w:hdrShapeDefaults>
  <w:compat>
    <w:balanceSingleByteDoubleByteWidth/>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Y2MmQ1Nzc1OGZiOWI3M2Q5OWY2ZWFlMjI3MmIwZDAifQ=="/>
  </w:docVars>
  <w:rsids>
    <w:rsidRoot w:val="000E5829"/>
    <w:rsid w:val="00003E11"/>
    <w:rsid w:val="00003FBC"/>
    <w:rsid w:val="00006D67"/>
    <w:rsid w:val="0001019E"/>
    <w:rsid w:val="0001097A"/>
    <w:rsid w:val="00010F1C"/>
    <w:rsid w:val="000132DB"/>
    <w:rsid w:val="0001387E"/>
    <w:rsid w:val="0001590F"/>
    <w:rsid w:val="00017FFB"/>
    <w:rsid w:val="00021F78"/>
    <w:rsid w:val="00024CFB"/>
    <w:rsid w:val="00027093"/>
    <w:rsid w:val="00032BF3"/>
    <w:rsid w:val="00033498"/>
    <w:rsid w:val="0003544C"/>
    <w:rsid w:val="000364C1"/>
    <w:rsid w:val="00040658"/>
    <w:rsid w:val="00043029"/>
    <w:rsid w:val="0004785F"/>
    <w:rsid w:val="00051B9E"/>
    <w:rsid w:val="000576A0"/>
    <w:rsid w:val="00066372"/>
    <w:rsid w:val="00073DCA"/>
    <w:rsid w:val="0008025A"/>
    <w:rsid w:val="00081860"/>
    <w:rsid w:val="00083BBF"/>
    <w:rsid w:val="00085B5D"/>
    <w:rsid w:val="000878E2"/>
    <w:rsid w:val="00090716"/>
    <w:rsid w:val="00090BD3"/>
    <w:rsid w:val="00090D21"/>
    <w:rsid w:val="000933A9"/>
    <w:rsid w:val="00095C72"/>
    <w:rsid w:val="000967FD"/>
    <w:rsid w:val="00097F02"/>
    <w:rsid w:val="000A1D57"/>
    <w:rsid w:val="000A300B"/>
    <w:rsid w:val="000A4598"/>
    <w:rsid w:val="000B008E"/>
    <w:rsid w:val="000B18FF"/>
    <w:rsid w:val="000B1BA5"/>
    <w:rsid w:val="000B2E14"/>
    <w:rsid w:val="000B3701"/>
    <w:rsid w:val="000B5835"/>
    <w:rsid w:val="000B5A2B"/>
    <w:rsid w:val="000C0F90"/>
    <w:rsid w:val="000C2995"/>
    <w:rsid w:val="000C5247"/>
    <w:rsid w:val="000C754D"/>
    <w:rsid w:val="000D1396"/>
    <w:rsid w:val="000D34AF"/>
    <w:rsid w:val="000D47A7"/>
    <w:rsid w:val="000D4EFD"/>
    <w:rsid w:val="000D5B3C"/>
    <w:rsid w:val="000D6266"/>
    <w:rsid w:val="000E0466"/>
    <w:rsid w:val="000E25B2"/>
    <w:rsid w:val="000E42D4"/>
    <w:rsid w:val="000E49B5"/>
    <w:rsid w:val="000E5829"/>
    <w:rsid w:val="000E58DF"/>
    <w:rsid w:val="000F0F1D"/>
    <w:rsid w:val="000F1930"/>
    <w:rsid w:val="000F1AB6"/>
    <w:rsid w:val="000F22E9"/>
    <w:rsid w:val="000F65CF"/>
    <w:rsid w:val="001012A3"/>
    <w:rsid w:val="00102CA3"/>
    <w:rsid w:val="001036CD"/>
    <w:rsid w:val="00104FC5"/>
    <w:rsid w:val="0010545E"/>
    <w:rsid w:val="001059B2"/>
    <w:rsid w:val="00113607"/>
    <w:rsid w:val="00113CC2"/>
    <w:rsid w:val="00117474"/>
    <w:rsid w:val="00120547"/>
    <w:rsid w:val="0012229E"/>
    <w:rsid w:val="001245DD"/>
    <w:rsid w:val="001251CC"/>
    <w:rsid w:val="00126DC2"/>
    <w:rsid w:val="00131484"/>
    <w:rsid w:val="001326F6"/>
    <w:rsid w:val="001344AC"/>
    <w:rsid w:val="00134913"/>
    <w:rsid w:val="00137816"/>
    <w:rsid w:val="0014038D"/>
    <w:rsid w:val="00140444"/>
    <w:rsid w:val="00141236"/>
    <w:rsid w:val="00151064"/>
    <w:rsid w:val="0015444B"/>
    <w:rsid w:val="001570BE"/>
    <w:rsid w:val="00157303"/>
    <w:rsid w:val="00157C85"/>
    <w:rsid w:val="00160CCC"/>
    <w:rsid w:val="00163B2A"/>
    <w:rsid w:val="00167F24"/>
    <w:rsid w:val="00170ECD"/>
    <w:rsid w:val="0017240D"/>
    <w:rsid w:val="00174DA1"/>
    <w:rsid w:val="00176522"/>
    <w:rsid w:val="0017696B"/>
    <w:rsid w:val="00184054"/>
    <w:rsid w:val="001870AE"/>
    <w:rsid w:val="001873C4"/>
    <w:rsid w:val="0018773E"/>
    <w:rsid w:val="00197257"/>
    <w:rsid w:val="001A16C5"/>
    <w:rsid w:val="001A3C04"/>
    <w:rsid w:val="001A5A10"/>
    <w:rsid w:val="001A756A"/>
    <w:rsid w:val="001B1689"/>
    <w:rsid w:val="001C075B"/>
    <w:rsid w:val="001C1543"/>
    <w:rsid w:val="001C18DE"/>
    <w:rsid w:val="001D7275"/>
    <w:rsid w:val="001D79C3"/>
    <w:rsid w:val="001E7C6B"/>
    <w:rsid w:val="001F03C6"/>
    <w:rsid w:val="001F0F6A"/>
    <w:rsid w:val="001F1A26"/>
    <w:rsid w:val="001F7430"/>
    <w:rsid w:val="0020559B"/>
    <w:rsid w:val="00205A2F"/>
    <w:rsid w:val="00211284"/>
    <w:rsid w:val="00212ABE"/>
    <w:rsid w:val="00212B9D"/>
    <w:rsid w:val="002174C3"/>
    <w:rsid w:val="00221E74"/>
    <w:rsid w:val="00222F70"/>
    <w:rsid w:val="002230F2"/>
    <w:rsid w:val="00224650"/>
    <w:rsid w:val="00227069"/>
    <w:rsid w:val="0022756A"/>
    <w:rsid w:val="002277EB"/>
    <w:rsid w:val="00232B53"/>
    <w:rsid w:val="00233800"/>
    <w:rsid w:val="002357D1"/>
    <w:rsid w:val="00235BE5"/>
    <w:rsid w:val="00236E60"/>
    <w:rsid w:val="002413F9"/>
    <w:rsid w:val="00242656"/>
    <w:rsid w:val="002427BF"/>
    <w:rsid w:val="002449E6"/>
    <w:rsid w:val="00246AE9"/>
    <w:rsid w:val="00250B56"/>
    <w:rsid w:val="00250B6E"/>
    <w:rsid w:val="00260EA8"/>
    <w:rsid w:val="00261EAE"/>
    <w:rsid w:val="00262525"/>
    <w:rsid w:val="00262C2A"/>
    <w:rsid w:val="00264959"/>
    <w:rsid w:val="002653E5"/>
    <w:rsid w:val="00267BDB"/>
    <w:rsid w:val="00267F90"/>
    <w:rsid w:val="002703AC"/>
    <w:rsid w:val="00273E4D"/>
    <w:rsid w:val="00280F0D"/>
    <w:rsid w:val="00282775"/>
    <w:rsid w:val="00283BAF"/>
    <w:rsid w:val="00291C40"/>
    <w:rsid w:val="0029325F"/>
    <w:rsid w:val="002A0C5D"/>
    <w:rsid w:val="002A17F2"/>
    <w:rsid w:val="002A2907"/>
    <w:rsid w:val="002A3722"/>
    <w:rsid w:val="002A38E8"/>
    <w:rsid w:val="002A5C71"/>
    <w:rsid w:val="002A5F6C"/>
    <w:rsid w:val="002B0BBA"/>
    <w:rsid w:val="002B138D"/>
    <w:rsid w:val="002B3D30"/>
    <w:rsid w:val="002B4E78"/>
    <w:rsid w:val="002B531D"/>
    <w:rsid w:val="002B7CF2"/>
    <w:rsid w:val="002C0846"/>
    <w:rsid w:val="002C178F"/>
    <w:rsid w:val="002C4C98"/>
    <w:rsid w:val="002C689A"/>
    <w:rsid w:val="002D1E0A"/>
    <w:rsid w:val="002D4BEF"/>
    <w:rsid w:val="002D4F37"/>
    <w:rsid w:val="002D5F60"/>
    <w:rsid w:val="002D72A6"/>
    <w:rsid w:val="002E04AA"/>
    <w:rsid w:val="002E0F6E"/>
    <w:rsid w:val="002E5492"/>
    <w:rsid w:val="002F0B9B"/>
    <w:rsid w:val="002F272C"/>
    <w:rsid w:val="002F2731"/>
    <w:rsid w:val="002F29A7"/>
    <w:rsid w:val="002F7CD8"/>
    <w:rsid w:val="003025DD"/>
    <w:rsid w:val="003037D0"/>
    <w:rsid w:val="00304002"/>
    <w:rsid w:val="0030566E"/>
    <w:rsid w:val="00313A8D"/>
    <w:rsid w:val="00313E95"/>
    <w:rsid w:val="00316126"/>
    <w:rsid w:val="00320BF0"/>
    <w:rsid w:val="00323B43"/>
    <w:rsid w:val="00325E87"/>
    <w:rsid w:val="003268A3"/>
    <w:rsid w:val="00326D51"/>
    <w:rsid w:val="00330893"/>
    <w:rsid w:val="003313A7"/>
    <w:rsid w:val="003317B4"/>
    <w:rsid w:val="00333F0E"/>
    <w:rsid w:val="00333F30"/>
    <w:rsid w:val="00334265"/>
    <w:rsid w:val="0033470C"/>
    <w:rsid w:val="0033518A"/>
    <w:rsid w:val="00336992"/>
    <w:rsid w:val="003423F0"/>
    <w:rsid w:val="00342B75"/>
    <w:rsid w:val="00350252"/>
    <w:rsid w:val="00352BF2"/>
    <w:rsid w:val="00354AD9"/>
    <w:rsid w:val="00356D96"/>
    <w:rsid w:val="00356EDA"/>
    <w:rsid w:val="00357067"/>
    <w:rsid w:val="00360957"/>
    <w:rsid w:val="0036493F"/>
    <w:rsid w:val="00364BFD"/>
    <w:rsid w:val="00366C62"/>
    <w:rsid w:val="0037060C"/>
    <w:rsid w:val="00372B9D"/>
    <w:rsid w:val="0037632E"/>
    <w:rsid w:val="003774DF"/>
    <w:rsid w:val="0039092F"/>
    <w:rsid w:val="00394038"/>
    <w:rsid w:val="00394E4D"/>
    <w:rsid w:val="00395B41"/>
    <w:rsid w:val="00396CE7"/>
    <w:rsid w:val="00396D81"/>
    <w:rsid w:val="003A0649"/>
    <w:rsid w:val="003A06FC"/>
    <w:rsid w:val="003A08E5"/>
    <w:rsid w:val="003A1A1A"/>
    <w:rsid w:val="003A34D3"/>
    <w:rsid w:val="003A4A54"/>
    <w:rsid w:val="003A4DA4"/>
    <w:rsid w:val="003A634F"/>
    <w:rsid w:val="003A7098"/>
    <w:rsid w:val="003A75E6"/>
    <w:rsid w:val="003A7E67"/>
    <w:rsid w:val="003B7465"/>
    <w:rsid w:val="003B7847"/>
    <w:rsid w:val="003B7B27"/>
    <w:rsid w:val="003C2547"/>
    <w:rsid w:val="003C3063"/>
    <w:rsid w:val="003C5D4F"/>
    <w:rsid w:val="003C6A86"/>
    <w:rsid w:val="003C72B5"/>
    <w:rsid w:val="003D10C0"/>
    <w:rsid w:val="003D37D8"/>
    <w:rsid w:val="003D74A7"/>
    <w:rsid w:val="003E793C"/>
    <w:rsid w:val="003F364B"/>
    <w:rsid w:val="004005CF"/>
    <w:rsid w:val="00401D5D"/>
    <w:rsid w:val="0040316C"/>
    <w:rsid w:val="00404F17"/>
    <w:rsid w:val="0040705E"/>
    <w:rsid w:val="00407E57"/>
    <w:rsid w:val="004104C1"/>
    <w:rsid w:val="004120B4"/>
    <w:rsid w:val="00416977"/>
    <w:rsid w:val="0042797B"/>
    <w:rsid w:val="00433084"/>
    <w:rsid w:val="00434864"/>
    <w:rsid w:val="004358AB"/>
    <w:rsid w:val="004408E9"/>
    <w:rsid w:val="00447285"/>
    <w:rsid w:val="00450771"/>
    <w:rsid w:val="004517D4"/>
    <w:rsid w:val="00452474"/>
    <w:rsid w:val="00454B20"/>
    <w:rsid w:val="004562FF"/>
    <w:rsid w:val="00456456"/>
    <w:rsid w:val="00463565"/>
    <w:rsid w:val="004649CF"/>
    <w:rsid w:val="00470A8B"/>
    <w:rsid w:val="00471ABB"/>
    <w:rsid w:val="00474D9C"/>
    <w:rsid w:val="00480F7F"/>
    <w:rsid w:val="00482F3D"/>
    <w:rsid w:val="004834EC"/>
    <w:rsid w:val="00483BD5"/>
    <w:rsid w:val="004846C7"/>
    <w:rsid w:val="00494962"/>
    <w:rsid w:val="00495870"/>
    <w:rsid w:val="00495F9F"/>
    <w:rsid w:val="004A573A"/>
    <w:rsid w:val="004A66DC"/>
    <w:rsid w:val="004B16D5"/>
    <w:rsid w:val="004B2C78"/>
    <w:rsid w:val="004B4E15"/>
    <w:rsid w:val="004B6B56"/>
    <w:rsid w:val="004B6EC0"/>
    <w:rsid w:val="004B71BD"/>
    <w:rsid w:val="004C0208"/>
    <w:rsid w:val="004C4B4A"/>
    <w:rsid w:val="004C4D1B"/>
    <w:rsid w:val="004C57B6"/>
    <w:rsid w:val="004C7FE0"/>
    <w:rsid w:val="004D0F7F"/>
    <w:rsid w:val="004D2899"/>
    <w:rsid w:val="004D73EA"/>
    <w:rsid w:val="004E2CD4"/>
    <w:rsid w:val="004E4F86"/>
    <w:rsid w:val="004E669D"/>
    <w:rsid w:val="004F2DDB"/>
    <w:rsid w:val="004F64AF"/>
    <w:rsid w:val="004F67D0"/>
    <w:rsid w:val="004F6AFC"/>
    <w:rsid w:val="004F7078"/>
    <w:rsid w:val="00502EFF"/>
    <w:rsid w:val="00503005"/>
    <w:rsid w:val="00503C59"/>
    <w:rsid w:val="00510701"/>
    <w:rsid w:val="00514145"/>
    <w:rsid w:val="00514239"/>
    <w:rsid w:val="005158F2"/>
    <w:rsid w:val="00517550"/>
    <w:rsid w:val="00521F4D"/>
    <w:rsid w:val="005232A1"/>
    <w:rsid w:val="00523D42"/>
    <w:rsid w:val="005257AE"/>
    <w:rsid w:val="005271FA"/>
    <w:rsid w:val="00530EFD"/>
    <w:rsid w:val="0053112A"/>
    <w:rsid w:val="00532A71"/>
    <w:rsid w:val="005339A5"/>
    <w:rsid w:val="00534BF2"/>
    <w:rsid w:val="005411E0"/>
    <w:rsid w:val="00542741"/>
    <w:rsid w:val="00550730"/>
    <w:rsid w:val="00552C32"/>
    <w:rsid w:val="005531E7"/>
    <w:rsid w:val="00557BBD"/>
    <w:rsid w:val="00561F69"/>
    <w:rsid w:val="00570175"/>
    <w:rsid w:val="00575FBA"/>
    <w:rsid w:val="00577132"/>
    <w:rsid w:val="005779EB"/>
    <w:rsid w:val="00580CFF"/>
    <w:rsid w:val="00580D64"/>
    <w:rsid w:val="00580E6B"/>
    <w:rsid w:val="00581192"/>
    <w:rsid w:val="0058207E"/>
    <w:rsid w:val="00582B68"/>
    <w:rsid w:val="00584399"/>
    <w:rsid w:val="00596328"/>
    <w:rsid w:val="0059718D"/>
    <w:rsid w:val="005A4670"/>
    <w:rsid w:val="005A4B9C"/>
    <w:rsid w:val="005A5225"/>
    <w:rsid w:val="005B0AE9"/>
    <w:rsid w:val="005B3414"/>
    <w:rsid w:val="005B7466"/>
    <w:rsid w:val="005B7997"/>
    <w:rsid w:val="005C02E5"/>
    <w:rsid w:val="005C1C47"/>
    <w:rsid w:val="005C2314"/>
    <w:rsid w:val="005C2D72"/>
    <w:rsid w:val="005C389E"/>
    <w:rsid w:val="005D33BF"/>
    <w:rsid w:val="005E0DB3"/>
    <w:rsid w:val="005E0DCD"/>
    <w:rsid w:val="005E184E"/>
    <w:rsid w:val="005E2EF6"/>
    <w:rsid w:val="005E5372"/>
    <w:rsid w:val="005E7AF3"/>
    <w:rsid w:val="005F154F"/>
    <w:rsid w:val="005F2007"/>
    <w:rsid w:val="00603B53"/>
    <w:rsid w:val="00605879"/>
    <w:rsid w:val="00614FCA"/>
    <w:rsid w:val="00621D20"/>
    <w:rsid w:val="00624C84"/>
    <w:rsid w:val="006256C6"/>
    <w:rsid w:val="00626128"/>
    <w:rsid w:val="00626F91"/>
    <w:rsid w:val="00632673"/>
    <w:rsid w:val="00640D74"/>
    <w:rsid w:val="00644130"/>
    <w:rsid w:val="00645431"/>
    <w:rsid w:val="00645F46"/>
    <w:rsid w:val="0064641D"/>
    <w:rsid w:val="00646910"/>
    <w:rsid w:val="00647368"/>
    <w:rsid w:val="00650B87"/>
    <w:rsid w:val="006510EE"/>
    <w:rsid w:val="00652D83"/>
    <w:rsid w:val="00654DCE"/>
    <w:rsid w:val="00655783"/>
    <w:rsid w:val="00656383"/>
    <w:rsid w:val="006564D9"/>
    <w:rsid w:val="00663A48"/>
    <w:rsid w:val="0066689F"/>
    <w:rsid w:val="0066725A"/>
    <w:rsid w:val="0066765A"/>
    <w:rsid w:val="00670F57"/>
    <w:rsid w:val="006719D4"/>
    <w:rsid w:val="00672C5F"/>
    <w:rsid w:val="00673D42"/>
    <w:rsid w:val="006740B9"/>
    <w:rsid w:val="0067754E"/>
    <w:rsid w:val="006806B0"/>
    <w:rsid w:val="00680AE0"/>
    <w:rsid w:val="006833CD"/>
    <w:rsid w:val="00686513"/>
    <w:rsid w:val="00694FD9"/>
    <w:rsid w:val="00695C7B"/>
    <w:rsid w:val="00695E9B"/>
    <w:rsid w:val="006A27D6"/>
    <w:rsid w:val="006A4195"/>
    <w:rsid w:val="006A5A2A"/>
    <w:rsid w:val="006A7BC5"/>
    <w:rsid w:val="006B0509"/>
    <w:rsid w:val="006B1728"/>
    <w:rsid w:val="006C3B70"/>
    <w:rsid w:val="006C57C8"/>
    <w:rsid w:val="006D4B2F"/>
    <w:rsid w:val="006D4D20"/>
    <w:rsid w:val="006D76EF"/>
    <w:rsid w:val="006D7B4A"/>
    <w:rsid w:val="006E31B7"/>
    <w:rsid w:val="006E74AC"/>
    <w:rsid w:val="006F005B"/>
    <w:rsid w:val="006F15CF"/>
    <w:rsid w:val="006F56B6"/>
    <w:rsid w:val="006F6646"/>
    <w:rsid w:val="006F70C8"/>
    <w:rsid w:val="00704141"/>
    <w:rsid w:val="00706842"/>
    <w:rsid w:val="00706849"/>
    <w:rsid w:val="00711371"/>
    <w:rsid w:val="007122AD"/>
    <w:rsid w:val="007145C8"/>
    <w:rsid w:val="00725656"/>
    <w:rsid w:val="00732BDE"/>
    <w:rsid w:val="00735105"/>
    <w:rsid w:val="00741720"/>
    <w:rsid w:val="00742BA3"/>
    <w:rsid w:val="007453A4"/>
    <w:rsid w:val="00746E9F"/>
    <w:rsid w:val="00751195"/>
    <w:rsid w:val="0075190F"/>
    <w:rsid w:val="00751984"/>
    <w:rsid w:val="00753E21"/>
    <w:rsid w:val="00754050"/>
    <w:rsid w:val="00754D98"/>
    <w:rsid w:val="007569A4"/>
    <w:rsid w:val="00757A8B"/>
    <w:rsid w:val="007621BF"/>
    <w:rsid w:val="0076365A"/>
    <w:rsid w:val="00763688"/>
    <w:rsid w:val="00765641"/>
    <w:rsid w:val="0076597B"/>
    <w:rsid w:val="0076720E"/>
    <w:rsid w:val="007708C0"/>
    <w:rsid w:val="007757F5"/>
    <w:rsid w:val="007763EE"/>
    <w:rsid w:val="00776B3B"/>
    <w:rsid w:val="00776F25"/>
    <w:rsid w:val="007772BC"/>
    <w:rsid w:val="00781BA9"/>
    <w:rsid w:val="00782A8A"/>
    <w:rsid w:val="00784F14"/>
    <w:rsid w:val="007917E6"/>
    <w:rsid w:val="0079302B"/>
    <w:rsid w:val="007939D5"/>
    <w:rsid w:val="00796869"/>
    <w:rsid w:val="0079726A"/>
    <w:rsid w:val="0079799B"/>
    <w:rsid w:val="007A2C26"/>
    <w:rsid w:val="007A2E7B"/>
    <w:rsid w:val="007A3CB0"/>
    <w:rsid w:val="007A47EE"/>
    <w:rsid w:val="007A4C8B"/>
    <w:rsid w:val="007B1B2B"/>
    <w:rsid w:val="007B3F18"/>
    <w:rsid w:val="007C1EC9"/>
    <w:rsid w:val="007C4D13"/>
    <w:rsid w:val="007C5F4C"/>
    <w:rsid w:val="007D0203"/>
    <w:rsid w:val="007D062E"/>
    <w:rsid w:val="007D1EDF"/>
    <w:rsid w:val="007D2B00"/>
    <w:rsid w:val="007E1411"/>
    <w:rsid w:val="007E3930"/>
    <w:rsid w:val="007E3B63"/>
    <w:rsid w:val="007E5DD3"/>
    <w:rsid w:val="007F4162"/>
    <w:rsid w:val="00803198"/>
    <w:rsid w:val="00803431"/>
    <w:rsid w:val="00803E8A"/>
    <w:rsid w:val="00805836"/>
    <w:rsid w:val="008079DA"/>
    <w:rsid w:val="00811212"/>
    <w:rsid w:val="00812657"/>
    <w:rsid w:val="00813254"/>
    <w:rsid w:val="00813FFE"/>
    <w:rsid w:val="00816FD3"/>
    <w:rsid w:val="00817A8D"/>
    <w:rsid w:val="00820CD9"/>
    <w:rsid w:val="00821559"/>
    <w:rsid w:val="00821E72"/>
    <w:rsid w:val="00827AAC"/>
    <w:rsid w:val="00827FAC"/>
    <w:rsid w:val="00827FAF"/>
    <w:rsid w:val="00827FC3"/>
    <w:rsid w:val="00830C3B"/>
    <w:rsid w:val="0083436B"/>
    <w:rsid w:val="008356D7"/>
    <w:rsid w:val="00836101"/>
    <w:rsid w:val="00840355"/>
    <w:rsid w:val="00841907"/>
    <w:rsid w:val="00843213"/>
    <w:rsid w:val="00844459"/>
    <w:rsid w:val="008457A1"/>
    <w:rsid w:val="00846C99"/>
    <w:rsid w:val="008506B2"/>
    <w:rsid w:val="00851FE7"/>
    <w:rsid w:val="00853E9B"/>
    <w:rsid w:val="00854C08"/>
    <w:rsid w:val="00856057"/>
    <w:rsid w:val="00860125"/>
    <w:rsid w:val="00860D0F"/>
    <w:rsid w:val="00860E1A"/>
    <w:rsid w:val="00861905"/>
    <w:rsid w:val="0086594D"/>
    <w:rsid w:val="00867D94"/>
    <w:rsid w:val="00873F9B"/>
    <w:rsid w:val="00874448"/>
    <w:rsid w:val="0087587A"/>
    <w:rsid w:val="00877BA5"/>
    <w:rsid w:val="00877C40"/>
    <w:rsid w:val="008811B0"/>
    <w:rsid w:val="0088126D"/>
    <w:rsid w:val="008832A6"/>
    <w:rsid w:val="00883ECF"/>
    <w:rsid w:val="00893CB0"/>
    <w:rsid w:val="008955D5"/>
    <w:rsid w:val="008A0E6B"/>
    <w:rsid w:val="008A16DB"/>
    <w:rsid w:val="008A3C35"/>
    <w:rsid w:val="008A5EDD"/>
    <w:rsid w:val="008B1765"/>
    <w:rsid w:val="008B2CF9"/>
    <w:rsid w:val="008B3533"/>
    <w:rsid w:val="008B3C67"/>
    <w:rsid w:val="008B580F"/>
    <w:rsid w:val="008B7726"/>
    <w:rsid w:val="008C1D45"/>
    <w:rsid w:val="008C4823"/>
    <w:rsid w:val="008D1AEA"/>
    <w:rsid w:val="008D6D21"/>
    <w:rsid w:val="008E431C"/>
    <w:rsid w:val="008E7546"/>
    <w:rsid w:val="008F786F"/>
    <w:rsid w:val="00901966"/>
    <w:rsid w:val="009104DD"/>
    <w:rsid w:val="00912F0E"/>
    <w:rsid w:val="00925012"/>
    <w:rsid w:val="00925637"/>
    <w:rsid w:val="00931D4F"/>
    <w:rsid w:val="00933A9D"/>
    <w:rsid w:val="00940CC5"/>
    <w:rsid w:val="009428F6"/>
    <w:rsid w:val="00950E6B"/>
    <w:rsid w:val="009521E7"/>
    <w:rsid w:val="00952CED"/>
    <w:rsid w:val="009549D6"/>
    <w:rsid w:val="009561BB"/>
    <w:rsid w:val="009565EC"/>
    <w:rsid w:val="009570C9"/>
    <w:rsid w:val="00957F55"/>
    <w:rsid w:val="009609EA"/>
    <w:rsid w:val="00960DB5"/>
    <w:rsid w:val="009624D7"/>
    <w:rsid w:val="00963951"/>
    <w:rsid w:val="00976698"/>
    <w:rsid w:val="00976AAA"/>
    <w:rsid w:val="009835A9"/>
    <w:rsid w:val="00984C91"/>
    <w:rsid w:val="00993BC8"/>
    <w:rsid w:val="0099504E"/>
    <w:rsid w:val="009A243B"/>
    <w:rsid w:val="009A2E44"/>
    <w:rsid w:val="009A419D"/>
    <w:rsid w:val="009A5626"/>
    <w:rsid w:val="009A6878"/>
    <w:rsid w:val="009B129F"/>
    <w:rsid w:val="009B1775"/>
    <w:rsid w:val="009B1CCC"/>
    <w:rsid w:val="009B3A93"/>
    <w:rsid w:val="009B3F6D"/>
    <w:rsid w:val="009B4B8C"/>
    <w:rsid w:val="009B50B9"/>
    <w:rsid w:val="009B6123"/>
    <w:rsid w:val="009C4033"/>
    <w:rsid w:val="009C4351"/>
    <w:rsid w:val="009D2209"/>
    <w:rsid w:val="009D3523"/>
    <w:rsid w:val="009D55BC"/>
    <w:rsid w:val="009D6412"/>
    <w:rsid w:val="009D7D5E"/>
    <w:rsid w:val="009E547E"/>
    <w:rsid w:val="009E6D0A"/>
    <w:rsid w:val="009F077F"/>
    <w:rsid w:val="009F23FB"/>
    <w:rsid w:val="009F7156"/>
    <w:rsid w:val="00A01835"/>
    <w:rsid w:val="00A03B4F"/>
    <w:rsid w:val="00A05601"/>
    <w:rsid w:val="00A13BDD"/>
    <w:rsid w:val="00A1418C"/>
    <w:rsid w:val="00A157C4"/>
    <w:rsid w:val="00A16D68"/>
    <w:rsid w:val="00A202CA"/>
    <w:rsid w:val="00A211D5"/>
    <w:rsid w:val="00A24F90"/>
    <w:rsid w:val="00A344C3"/>
    <w:rsid w:val="00A35C15"/>
    <w:rsid w:val="00A36602"/>
    <w:rsid w:val="00A41ABA"/>
    <w:rsid w:val="00A46A90"/>
    <w:rsid w:val="00A475D7"/>
    <w:rsid w:val="00A5454A"/>
    <w:rsid w:val="00A54B90"/>
    <w:rsid w:val="00A55E04"/>
    <w:rsid w:val="00A624A3"/>
    <w:rsid w:val="00A62986"/>
    <w:rsid w:val="00A6324C"/>
    <w:rsid w:val="00A63B96"/>
    <w:rsid w:val="00A64128"/>
    <w:rsid w:val="00A662E0"/>
    <w:rsid w:val="00A66DF2"/>
    <w:rsid w:val="00A71824"/>
    <w:rsid w:val="00A73223"/>
    <w:rsid w:val="00A73940"/>
    <w:rsid w:val="00A74B73"/>
    <w:rsid w:val="00A80015"/>
    <w:rsid w:val="00A80E6A"/>
    <w:rsid w:val="00A82201"/>
    <w:rsid w:val="00A852A1"/>
    <w:rsid w:val="00A85E15"/>
    <w:rsid w:val="00A94EE3"/>
    <w:rsid w:val="00A97FD6"/>
    <w:rsid w:val="00AA5DD1"/>
    <w:rsid w:val="00AB0558"/>
    <w:rsid w:val="00AB2C8F"/>
    <w:rsid w:val="00AB30E7"/>
    <w:rsid w:val="00AB3A4A"/>
    <w:rsid w:val="00AC3FF6"/>
    <w:rsid w:val="00AC5CB0"/>
    <w:rsid w:val="00AC6FBF"/>
    <w:rsid w:val="00AC7C83"/>
    <w:rsid w:val="00AD150E"/>
    <w:rsid w:val="00AD3566"/>
    <w:rsid w:val="00AD6940"/>
    <w:rsid w:val="00AE2C76"/>
    <w:rsid w:val="00AE6B7E"/>
    <w:rsid w:val="00AE7C4D"/>
    <w:rsid w:val="00AF3E9D"/>
    <w:rsid w:val="00AF41C6"/>
    <w:rsid w:val="00AF445E"/>
    <w:rsid w:val="00AF6F52"/>
    <w:rsid w:val="00B04480"/>
    <w:rsid w:val="00B11C24"/>
    <w:rsid w:val="00B2099D"/>
    <w:rsid w:val="00B26554"/>
    <w:rsid w:val="00B27D9E"/>
    <w:rsid w:val="00B3495B"/>
    <w:rsid w:val="00B461C1"/>
    <w:rsid w:val="00B519C4"/>
    <w:rsid w:val="00B52BCE"/>
    <w:rsid w:val="00B54064"/>
    <w:rsid w:val="00B551C9"/>
    <w:rsid w:val="00B569F5"/>
    <w:rsid w:val="00B57F0E"/>
    <w:rsid w:val="00B6591F"/>
    <w:rsid w:val="00B72C65"/>
    <w:rsid w:val="00B737C1"/>
    <w:rsid w:val="00B74576"/>
    <w:rsid w:val="00B828EE"/>
    <w:rsid w:val="00B82BF8"/>
    <w:rsid w:val="00B852ED"/>
    <w:rsid w:val="00B8619C"/>
    <w:rsid w:val="00B86515"/>
    <w:rsid w:val="00B87E0B"/>
    <w:rsid w:val="00B95D4B"/>
    <w:rsid w:val="00B97118"/>
    <w:rsid w:val="00BA3E31"/>
    <w:rsid w:val="00BA78DC"/>
    <w:rsid w:val="00BB213F"/>
    <w:rsid w:val="00BB3B04"/>
    <w:rsid w:val="00BB414C"/>
    <w:rsid w:val="00BB5360"/>
    <w:rsid w:val="00BB5E81"/>
    <w:rsid w:val="00BB5F33"/>
    <w:rsid w:val="00BB645C"/>
    <w:rsid w:val="00BC23BF"/>
    <w:rsid w:val="00BC5264"/>
    <w:rsid w:val="00BC5F9E"/>
    <w:rsid w:val="00BC6806"/>
    <w:rsid w:val="00BD2E89"/>
    <w:rsid w:val="00BD3934"/>
    <w:rsid w:val="00BD4E3C"/>
    <w:rsid w:val="00BD7C7C"/>
    <w:rsid w:val="00BE4D99"/>
    <w:rsid w:val="00BE61D0"/>
    <w:rsid w:val="00BE741E"/>
    <w:rsid w:val="00BF59C3"/>
    <w:rsid w:val="00BF7155"/>
    <w:rsid w:val="00C01CD9"/>
    <w:rsid w:val="00C11382"/>
    <w:rsid w:val="00C11AD5"/>
    <w:rsid w:val="00C1451E"/>
    <w:rsid w:val="00C14CE2"/>
    <w:rsid w:val="00C252D9"/>
    <w:rsid w:val="00C33685"/>
    <w:rsid w:val="00C33D09"/>
    <w:rsid w:val="00C40154"/>
    <w:rsid w:val="00C42F55"/>
    <w:rsid w:val="00C4355B"/>
    <w:rsid w:val="00C440E6"/>
    <w:rsid w:val="00C45E0F"/>
    <w:rsid w:val="00C54CD0"/>
    <w:rsid w:val="00C57B5E"/>
    <w:rsid w:val="00C600E3"/>
    <w:rsid w:val="00C6086C"/>
    <w:rsid w:val="00C62C92"/>
    <w:rsid w:val="00C6612C"/>
    <w:rsid w:val="00C664E8"/>
    <w:rsid w:val="00C70022"/>
    <w:rsid w:val="00C71077"/>
    <w:rsid w:val="00C71C61"/>
    <w:rsid w:val="00C72C82"/>
    <w:rsid w:val="00C74736"/>
    <w:rsid w:val="00C77F0F"/>
    <w:rsid w:val="00C82739"/>
    <w:rsid w:val="00C829F1"/>
    <w:rsid w:val="00C832B6"/>
    <w:rsid w:val="00C94C49"/>
    <w:rsid w:val="00C96AB6"/>
    <w:rsid w:val="00CA2434"/>
    <w:rsid w:val="00CA6B4A"/>
    <w:rsid w:val="00CA6CB4"/>
    <w:rsid w:val="00CA6DBD"/>
    <w:rsid w:val="00CB0BF3"/>
    <w:rsid w:val="00CB1459"/>
    <w:rsid w:val="00CB730F"/>
    <w:rsid w:val="00CC0179"/>
    <w:rsid w:val="00CC0656"/>
    <w:rsid w:val="00CC3898"/>
    <w:rsid w:val="00CD6B0E"/>
    <w:rsid w:val="00CE09AF"/>
    <w:rsid w:val="00CE2085"/>
    <w:rsid w:val="00CE40B4"/>
    <w:rsid w:val="00CE5439"/>
    <w:rsid w:val="00CE6206"/>
    <w:rsid w:val="00CE75CF"/>
    <w:rsid w:val="00CF09E8"/>
    <w:rsid w:val="00CF3A6D"/>
    <w:rsid w:val="00CF3E81"/>
    <w:rsid w:val="00CF7014"/>
    <w:rsid w:val="00D06D3F"/>
    <w:rsid w:val="00D0729D"/>
    <w:rsid w:val="00D07AFE"/>
    <w:rsid w:val="00D11890"/>
    <w:rsid w:val="00D13206"/>
    <w:rsid w:val="00D214BA"/>
    <w:rsid w:val="00D21DCA"/>
    <w:rsid w:val="00D21FE1"/>
    <w:rsid w:val="00D23534"/>
    <w:rsid w:val="00D27D16"/>
    <w:rsid w:val="00D307AF"/>
    <w:rsid w:val="00D333A8"/>
    <w:rsid w:val="00D3363B"/>
    <w:rsid w:val="00D342DF"/>
    <w:rsid w:val="00D374B8"/>
    <w:rsid w:val="00D37D0B"/>
    <w:rsid w:val="00D413E6"/>
    <w:rsid w:val="00D45203"/>
    <w:rsid w:val="00D45851"/>
    <w:rsid w:val="00D50B90"/>
    <w:rsid w:val="00D56069"/>
    <w:rsid w:val="00D57DBC"/>
    <w:rsid w:val="00D61512"/>
    <w:rsid w:val="00D634E8"/>
    <w:rsid w:val="00D6360D"/>
    <w:rsid w:val="00D63A80"/>
    <w:rsid w:val="00D64B2F"/>
    <w:rsid w:val="00D71740"/>
    <w:rsid w:val="00D73E71"/>
    <w:rsid w:val="00D77533"/>
    <w:rsid w:val="00D77A92"/>
    <w:rsid w:val="00D81073"/>
    <w:rsid w:val="00D845D0"/>
    <w:rsid w:val="00D84767"/>
    <w:rsid w:val="00D85143"/>
    <w:rsid w:val="00D855F9"/>
    <w:rsid w:val="00D876B1"/>
    <w:rsid w:val="00D905D2"/>
    <w:rsid w:val="00D924A0"/>
    <w:rsid w:val="00D9395B"/>
    <w:rsid w:val="00D946D1"/>
    <w:rsid w:val="00DA254B"/>
    <w:rsid w:val="00DB0B11"/>
    <w:rsid w:val="00DB13C0"/>
    <w:rsid w:val="00DB30D8"/>
    <w:rsid w:val="00DB5F51"/>
    <w:rsid w:val="00DB62A5"/>
    <w:rsid w:val="00DC19D9"/>
    <w:rsid w:val="00DD1FFE"/>
    <w:rsid w:val="00DD6E40"/>
    <w:rsid w:val="00DE0838"/>
    <w:rsid w:val="00DE1345"/>
    <w:rsid w:val="00DF23FE"/>
    <w:rsid w:val="00DF2AE8"/>
    <w:rsid w:val="00DF4FA7"/>
    <w:rsid w:val="00DF50EE"/>
    <w:rsid w:val="00DF5B26"/>
    <w:rsid w:val="00DF7912"/>
    <w:rsid w:val="00DF7F1F"/>
    <w:rsid w:val="00E0087E"/>
    <w:rsid w:val="00E00B0A"/>
    <w:rsid w:val="00E0159F"/>
    <w:rsid w:val="00E056DF"/>
    <w:rsid w:val="00E06B56"/>
    <w:rsid w:val="00E10360"/>
    <w:rsid w:val="00E12F2E"/>
    <w:rsid w:val="00E138A4"/>
    <w:rsid w:val="00E20439"/>
    <w:rsid w:val="00E220EB"/>
    <w:rsid w:val="00E225DC"/>
    <w:rsid w:val="00E23326"/>
    <w:rsid w:val="00E26DEE"/>
    <w:rsid w:val="00E2704F"/>
    <w:rsid w:val="00E3128A"/>
    <w:rsid w:val="00E36B6A"/>
    <w:rsid w:val="00E37AF5"/>
    <w:rsid w:val="00E41DF8"/>
    <w:rsid w:val="00E43872"/>
    <w:rsid w:val="00E5204F"/>
    <w:rsid w:val="00E57C65"/>
    <w:rsid w:val="00E613BC"/>
    <w:rsid w:val="00E649F7"/>
    <w:rsid w:val="00E666B5"/>
    <w:rsid w:val="00E71AF1"/>
    <w:rsid w:val="00E71F46"/>
    <w:rsid w:val="00E72647"/>
    <w:rsid w:val="00E758B9"/>
    <w:rsid w:val="00E7697F"/>
    <w:rsid w:val="00E769D2"/>
    <w:rsid w:val="00E830C7"/>
    <w:rsid w:val="00E85F3F"/>
    <w:rsid w:val="00E863BE"/>
    <w:rsid w:val="00E875DA"/>
    <w:rsid w:val="00E977D1"/>
    <w:rsid w:val="00EA173C"/>
    <w:rsid w:val="00EA357D"/>
    <w:rsid w:val="00EA55BE"/>
    <w:rsid w:val="00EA6764"/>
    <w:rsid w:val="00EA7232"/>
    <w:rsid w:val="00EA7C9D"/>
    <w:rsid w:val="00EB1EC3"/>
    <w:rsid w:val="00EB207F"/>
    <w:rsid w:val="00EB62AC"/>
    <w:rsid w:val="00EB6A5C"/>
    <w:rsid w:val="00EC0755"/>
    <w:rsid w:val="00EC2F41"/>
    <w:rsid w:val="00ED191E"/>
    <w:rsid w:val="00ED21BD"/>
    <w:rsid w:val="00ED32B4"/>
    <w:rsid w:val="00ED456D"/>
    <w:rsid w:val="00ED56ED"/>
    <w:rsid w:val="00ED59B7"/>
    <w:rsid w:val="00EE10DB"/>
    <w:rsid w:val="00EE1DDC"/>
    <w:rsid w:val="00EE37DB"/>
    <w:rsid w:val="00EE3B0A"/>
    <w:rsid w:val="00EE438B"/>
    <w:rsid w:val="00EE59D2"/>
    <w:rsid w:val="00EE6231"/>
    <w:rsid w:val="00EE6CE4"/>
    <w:rsid w:val="00EE7C3B"/>
    <w:rsid w:val="00EF2028"/>
    <w:rsid w:val="00EF380B"/>
    <w:rsid w:val="00EF5BE7"/>
    <w:rsid w:val="00F047E1"/>
    <w:rsid w:val="00F14B8E"/>
    <w:rsid w:val="00F14DCD"/>
    <w:rsid w:val="00F163C1"/>
    <w:rsid w:val="00F167CF"/>
    <w:rsid w:val="00F17CB7"/>
    <w:rsid w:val="00F2162D"/>
    <w:rsid w:val="00F24A80"/>
    <w:rsid w:val="00F24A8A"/>
    <w:rsid w:val="00F24B33"/>
    <w:rsid w:val="00F24EF0"/>
    <w:rsid w:val="00F25F68"/>
    <w:rsid w:val="00F279DA"/>
    <w:rsid w:val="00F3236B"/>
    <w:rsid w:val="00F33DF1"/>
    <w:rsid w:val="00F36882"/>
    <w:rsid w:val="00F40C22"/>
    <w:rsid w:val="00F410F7"/>
    <w:rsid w:val="00F41561"/>
    <w:rsid w:val="00F46356"/>
    <w:rsid w:val="00F463B0"/>
    <w:rsid w:val="00F5263C"/>
    <w:rsid w:val="00F64A1D"/>
    <w:rsid w:val="00F6583A"/>
    <w:rsid w:val="00F669D6"/>
    <w:rsid w:val="00F73354"/>
    <w:rsid w:val="00F73DB3"/>
    <w:rsid w:val="00F75AAE"/>
    <w:rsid w:val="00F80674"/>
    <w:rsid w:val="00F827E4"/>
    <w:rsid w:val="00F9074C"/>
    <w:rsid w:val="00F92CC4"/>
    <w:rsid w:val="00F96B84"/>
    <w:rsid w:val="00F97F5F"/>
    <w:rsid w:val="00FA46EB"/>
    <w:rsid w:val="00FB1ABD"/>
    <w:rsid w:val="00FB21F9"/>
    <w:rsid w:val="00FB6F1A"/>
    <w:rsid w:val="00FC36CF"/>
    <w:rsid w:val="00FC6B1D"/>
    <w:rsid w:val="00FD295C"/>
    <w:rsid w:val="00FD2A88"/>
    <w:rsid w:val="00FE1BF1"/>
    <w:rsid w:val="00FE2026"/>
    <w:rsid w:val="00FE678B"/>
    <w:rsid w:val="00FF21B8"/>
    <w:rsid w:val="00FF3CDF"/>
    <w:rsid w:val="00FF5203"/>
    <w:rsid w:val="00FF5DDA"/>
    <w:rsid w:val="0A282C45"/>
    <w:rsid w:val="0E12646B"/>
    <w:rsid w:val="185E6093"/>
    <w:rsid w:val="21A343E2"/>
    <w:rsid w:val="22C01FE2"/>
    <w:rsid w:val="242F4E30"/>
    <w:rsid w:val="25C743A1"/>
    <w:rsid w:val="26CC65C4"/>
    <w:rsid w:val="3D625494"/>
    <w:rsid w:val="41C5261C"/>
    <w:rsid w:val="453313F8"/>
    <w:rsid w:val="4B2044BB"/>
    <w:rsid w:val="4F9527FD"/>
    <w:rsid w:val="621E6D68"/>
    <w:rsid w:val="6421445E"/>
    <w:rsid w:val="6F703412"/>
    <w:rsid w:val="70D311C0"/>
    <w:rsid w:val="771A1FE5"/>
    <w:rsid w:val="79722641"/>
    <w:rsid w:val="7DDB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paragraph" w:customStyle="1" w:styleId="8">
    <w:name w:val="p0"/>
    <w:basedOn w:val="1"/>
    <w:qFormat/>
    <w:uiPriority w:val="0"/>
    <w:pPr>
      <w:widowControl/>
      <w:spacing w:before="100" w:beforeAutospacing="1" w:after="100" w:afterAutospacing="1"/>
      <w:jc w:val="left"/>
    </w:pPr>
    <w:rPr>
      <w:rFonts w:ascii="宋体" w:hAnsi="宋体" w:cs="宋体"/>
      <w:sz w:val="24"/>
      <w:szCs w:val="24"/>
    </w:rPr>
  </w:style>
  <w:style w:type="character" w:customStyle="1" w:styleId="9">
    <w:name w:val="apple-converted-space"/>
    <w:basedOn w:val="6"/>
    <w:qFormat/>
    <w:uiPriority w:val="0"/>
  </w:style>
  <w:style w:type="character" w:customStyle="1" w:styleId="10">
    <w:name w:val="bjh-p"/>
    <w:basedOn w:val="6"/>
    <w:qFormat/>
    <w:uiPriority w:val="0"/>
  </w:style>
  <w:style w:type="character" w:customStyle="1" w:styleId="11">
    <w:name w:val="页眉 Char"/>
    <w:basedOn w:val="6"/>
    <w:link w:val="4"/>
    <w:semiHidden/>
    <w:qFormat/>
    <w:uiPriority w:val="99"/>
    <w:rPr>
      <w:rFonts w:ascii="Times New Roman" w:hAnsi="Times New Roman" w:eastAsia="宋体"/>
      <w:sz w:val="18"/>
      <w:szCs w:val="18"/>
    </w:rPr>
  </w:style>
  <w:style w:type="character" w:customStyle="1" w:styleId="12">
    <w:name w:val="页脚 Char"/>
    <w:basedOn w:val="6"/>
    <w:link w:val="3"/>
    <w:semiHidden/>
    <w:qFormat/>
    <w:uiPriority w:val="99"/>
    <w:rPr>
      <w:rFonts w:ascii="Times New Roman" w:hAnsi="Times New Roman" w:eastAsia="宋体"/>
      <w:sz w:val="18"/>
      <w:szCs w:val="18"/>
    </w:rPr>
  </w:style>
  <w:style w:type="paragraph" w:customStyle="1" w:styleId="13">
    <w:name w:val="p16"/>
    <w:basedOn w:val="1"/>
    <w:qFormat/>
    <w:uiPriority w:val="0"/>
    <w:pPr>
      <w:widowControl/>
    </w:pPr>
    <w:rPr>
      <w:sz w:val="21"/>
      <w:szCs w:val="21"/>
    </w:rPr>
  </w:style>
  <w:style w:type="character" w:customStyle="1" w:styleId="14">
    <w:name w:val="10"/>
    <w:basedOn w:val="6"/>
    <w:qFormat/>
    <w:uiPriority w:val="0"/>
    <w:rPr>
      <w:rFonts w:hint="default" w:ascii="Calibri" w:hAnsi="Calibri" w:cs="Calibri"/>
    </w:rPr>
  </w:style>
  <w:style w:type="character" w:customStyle="1" w:styleId="15">
    <w:name w:val="15"/>
    <w:basedOn w:val="6"/>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DDE47-5F0E-4A3E-8E97-4E3CC3E704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5589</Words>
  <Characters>6142</Characters>
  <Lines>1</Lines>
  <Paragraphs>1</Paragraphs>
  <TotalTime>9</TotalTime>
  <ScaleCrop>false</ScaleCrop>
  <LinksUpToDate>false</LinksUpToDate>
  <CharactersWithSpaces>6154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2020-12-11T07:07:00Z</dcterms:created>
  <dc:creator>ST</dc:creator>
  <cp:lastModifiedBy>国库科-吕逄星</cp:lastModifiedBy>
  <cp:lastPrinted>2021-11-18T02:50:00Z</cp:lastPrinted>
  <dcterms:modified xsi:type="dcterms:W3CDTF">2022-12-07T13:15:11Z</dcterms:modified>
  <dc:title>苏家屯区十八届人大</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7D32BF1CC8534BF8AFA9140F13306A90</vt:lpwstr>
  </property>
</Properties>
</file>